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99" w:rsidRPr="00087B82" w:rsidRDefault="00875299" w:rsidP="00087B82">
      <w:pPr>
        <w:pStyle w:val="msobodytext4"/>
        <w:widowControl w:val="0"/>
        <w:spacing w:line="276" w:lineRule="auto"/>
        <w:rPr>
          <w:sz w:val="24"/>
          <w:szCs w:val="24"/>
        </w:rPr>
      </w:pPr>
      <w:r w:rsidRPr="00087B82">
        <w:rPr>
          <w:sz w:val="24"/>
          <w:szCs w:val="24"/>
        </w:rPr>
        <w:t>SPONSORS FROM</w:t>
      </w:r>
      <w:r w:rsidR="00087B82" w:rsidRPr="00087B82">
        <w:rPr>
          <w:sz w:val="24"/>
          <w:szCs w:val="24"/>
        </w:rPr>
        <w:t xml:space="preserve"> FIRST YEAR THROUGH CURRENT YEAR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ACCCA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Ad Club Advertising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Alliant Insurance Services, Inc.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American Fidelity Assurance Co.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America Retirement Services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ASCIP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 xml:space="preserve">Atkinson, Anderson, </w:t>
      </w:r>
      <w:proofErr w:type="spellStart"/>
      <w:r w:rsidRPr="00087B82">
        <w:t>Loya</w:t>
      </w:r>
      <w:proofErr w:type="spellEnd"/>
      <w:r w:rsidRPr="00087B82">
        <w:t xml:space="preserve">, </w:t>
      </w:r>
      <w:proofErr w:type="spellStart"/>
      <w:r w:rsidRPr="00087B82">
        <w:t>Ruud</w:t>
      </w:r>
      <w:proofErr w:type="spellEnd"/>
      <w:r w:rsidRPr="00087B82">
        <w:t xml:space="preserve"> &amp; </w:t>
      </w:r>
      <w:proofErr w:type="spellStart"/>
      <w:r w:rsidRPr="00087B82">
        <w:t>Romo</w:t>
      </w:r>
      <w:proofErr w:type="spellEnd"/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Blue Cross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Blue-</w:t>
      </w:r>
      <w:proofErr w:type="spellStart"/>
      <w:r w:rsidRPr="00087B82">
        <w:t>Nite</w:t>
      </w:r>
      <w:proofErr w:type="spellEnd"/>
      <w:r w:rsidRPr="00087B82">
        <w:t xml:space="preserve"> Protection Agency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Center for Collaborative Solutions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CODESP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CommunityCollegeJobs.com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 xml:space="preserve">Cornerstone </w:t>
      </w:r>
      <w:proofErr w:type="spellStart"/>
      <w:r w:rsidRPr="00087B82">
        <w:t>OnDemand</w:t>
      </w:r>
      <w:proofErr w:type="spellEnd"/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r w:rsidRPr="00087B82">
        <w:t>Dannis</w:t>
      </w:r>
      <w:proofErr w:type="spellEnd"/>
      <w:r w:rsidRPr="00087B82">
        <w:t xml:space="preserve"> </w:t>
      </w:r>
      <w:proofErr w:type="spellStart"/>
      <w:r w:rsidRPr="00087B82">
        <w:t>Woliver</w:t>
      </w:r>
      <w:proofErr w:type="spellEnd"/>
      <w:r w:rsidRPr="00087B82">
        <w:t xml:space="preserve"> Kelley, Esq.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Delta Dental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Educator’s Choice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EEDEC-Southern Region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Ewing &amp; Company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r w:rsidRPr="00087B82">
        <w:t>Fagen</w:t>
      </w:r>
      <w:proofErr w:type="spellEnd"/>
      <w:r w:rsidRPr="00087B82">
        <w:t xml:space="preserve"> Friedman &amp; </w:t>
      </w:r>
      <w:proofErr w:type="spellStart"/>
      <w:r w:rsidRPr="00087B82">
        <w:t>Fulfrost</w:t>
      </w:r>
      <w:proofErr w:type="spellEnd"/>
      <w:r w:rsidRPr="00087B82">
        <w:t xml:space="preserve"> LLP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Fremont Insurance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r w:rsidRPr="00087B82">
        <w:t>Greentree</w:t>
      </w:r>
      <w:proofErr w:type="spellEnd"/>
      <w:r w:rsidRPr="00087B82">
        <w:t xml:space="preserve"> Systems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Guardian Life Insurance Company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The Help Network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r w:rsidRPr="00087B82">
        <w:t>HigherTouch</w:t>
      </w:r>
      <w:proofErr w:type="spellEnd"/>
      <w:r w:rsidRPr="00087B82">
        <w:t xml:space="preserve"> by </w:t>
      </w:r>
      <w:proofErr w:type="spellStart"/>
      <w:r w:rsidRPr="00087B82">
        <w:t>ImageTrend</w:t>
      </w:r>
      <w:proofErr w:type="spellEnd"/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Horizon/Interview Exchange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r w:rsidRPr="00087B82">
        <w:t>Hornaday</w:t>
      </w:r>
      <w:proofErr w:type="spellEnd"/>
      <w:r w:rsidRPr="00087B82">
        <w:t xml:space="preserve"> Financial Services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ING Financial Advisors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Inside Higher Ed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JC Insurance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Jobelephant.com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gramStart"/>
      <w:r w:rsidRPr="00087B82">
        <w:t>John Hancock Financial Serv.</w:t>
      </w:r>
      <w:proofErr w:type="gramEnd"/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Kanawha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rPr>
          <w:bCs/>
        </w:rPr>
        <w:t>Keenan &amp; Associates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r w:rsidRPr="00087B82">
        <w:t>Kronic</w:t>
      </w:r>
      <w:proofErr w:type="spellEnd"/>
      <w:r w:rsidRPr="00087B82">
        <w:t xml:space="preserve">, </w:t>
      </w:r>
      <w:proofErr w:type="spellStart"/>
      <w:r w:rsidRPr="00087B82">
        <w:t>Moskowvitz</w:t>
      </w:r>
      <w:proofErr w:type="spellEnd"/>
      <w:r w:rsidRPr="00087B82">
        <w:t>, Tiedemann &amp; Girard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r w:rsidRPr="00087B82">
        <w:t>LawRoom</w:t>
      </w:r>
      <w:proofErr w:type="spellEnd"/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r w:rsidRPr="00087B82">
        <w:t>Liebert</w:t>
      </w:r>
      <w:proofErr w:type="spellEnd"/>
      <w:r w:rsidRPr="00087B82">
        <w:t xml:space="preserve"> Cassidy Whitmore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Life Insurance of the Southwest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lastRenderedPageBreak/>
        <w:t>LTC Solutions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r w:rsidRPr="00087B82">
        <w:t>Marblestone</w:t>
      </w:r>
      <w:proofErr w:type="spellEnd"/>
      <w:r w:rsidRPr="00087B82">
        <w:t xml:space="preserve"> Insurance Services, Inc.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National Life Group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NEOGOV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New Media Learning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 xml:space="preserve">Norman A. </w:t>
      </w:r>
      <w:proofErr w:type="spellStart"/>
      <w:r w:rsidRPr="00087B82">
        <w:t>Traub</w:t>
      </w:r>
      <w:proofErr w:type="spellEnd"/>
      <w:r w:rsidRPr="00087B82">
        <w:t xml:space="preserve"> Associates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 xml:space="preserve">Ochoa, </w:t>
      </w:r>
      <w:proofErr w:type="spellStart"/>
      <w:r w:rsidRPr="00087B82">
        <w:t>Sillas</w:t>
      </w:r>
      <w:proofErr w:type="spellEnd"/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r w:rsidRPr="00087B82">
        <w:t>Pacificare</w:t>
      </w:r>
      <w:proofErr w:type="spellEnd"/>
      <w:r w:rsidRPr="00087B82">
        <w:t xml:space="preserve"> Behavioral Health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Parker &amp; Covert LLP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PARS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proofErr w:type="gramStart"/>
      <w:r w:rsidRPr="00087B82">
        <w:t>PeopleAdmin</w:t>
      </w:r>
      <w:proofErr w:type="spellEnd"/>
      <w:r w:rsidRPr="00087B82">
        <w:t>.</w:t>
      </w:r>
      <w:proofErr w:type="gramEnd"/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PPL Inc.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Regional Employee Benefit Council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Registry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Retirement Options for Educators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Risk Aware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SCT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SECOVA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r w:rsidRPr="00087B82">
        <w:t>SearchSoft</w:t>
      </w:r>
      <w:proofErr w:type="spellEnd"/>
      <w:r w:rsidRPr="00087B82">
        <w:t xml:space="preserve"> Solutions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gramStart"/>
      <w:r w:rsidRPr="00087B82">
        <w:t>Shaw HR Consulting, Inc.</w:t>
      </w:r>
      <w:proofErr w:type="gramEnd"/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State Chancellor’s Office, CCC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Student Insurance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 xml:space="preserve">Stutz </w:t>
      </w:r>
      <w:proofErr w:type="spellStart"/>
      <w:r w:rsidRPr="00087B82">
        <w:t>Artiano</w:t>
      </w:r>
      <w:proofErr w:type="spellEnd"/>
      <w:r w:rsidRPr="00087B82">
        <w:t xml:space="preserve"> </w:t>
      </w:r>
      <w:proofErr w:type="spellStart"/>
      <w:r w:rsidRPr="00087B82">
        <w:t>Shinoff</w:t>
      </w:r>
      <w:proofErr w:type="spellEnd"/>
      <w:r w:rsidRPr="00087B82">
        <w:t xml:space="preserve"> &amp; Holtz APC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TDS Group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The Titan Group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Teachers Financial Services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gramStart"/>
      <w:r w:rsidRPr="00087B82">
        <w:t>Total Compensation Group Consulting, Inc.</w:t>
      </w:r>
      <w:proofErr w:type="gramEnd"/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Total Financial Money School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Total Financial Solutions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The Tyler-</w:t>
      </w:r>
      <w:proofErr w:type="spellStart"/>
      <w:r w:rsidRPr="00087B82">
        <w:t>Zampi</w:t>
      </w:r>
      <w:proofErr w:type="spellEnd"/>
      <w:r w:rsidRPr="00087B82">
        <w:t xml:space="preserve"> Group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Vision Service Plan (VSP)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VRT Insurance Services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r w:rsidRPr="00087B82">
        <w:t>Workday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r w:rsidRPr="00087B82">
        <w:t>Zampi</w:t>
      </w:r>
      <w:proofErr w:type="spellEnd"/>
      <w:r w:rsidRPr="00087B82">
        <w:t xml:space="preserve">, </w:t>
      </w:r>
      <w:proofErr w:type="spellStart"/>
      <w:r w:rsidRPr="00087B82">
        <w:t>Determan</w:t>
      </w:r>
      <w:proofErr w:type="spellEnd"/>
      <w:r w:rsidRPr="00087B82">
        <w:t xml:space="preserve"> &amp; Erickson LLP</w:t>
      </w:r>
    </w:p>
    <w:p w:rsidR="00875299" w:rsidRPr="00087B82" w:rsidRDefault="00875299" w:rsidP="00087B82">
      <w:pPr>
        <w:pStyle w:val="msobodytext4"/>
        <w:widowControl w:val="0"/>
        <w:spacing w:line="240" w:lineRule="auto"/>
      </w:pPr>
      <w:proofErr w:type="spellStart"/>
      <w:r w:rsidRPr="00087B82">
        <w:t>Zuk</w:t>
      </w:r>
      <w:proofErr w:type="spellEnd"/>
      <w:r w:rsidRPr="00087B82">
        <w:t xml:space="preserve"> Financial</w:t>
      </w:r>
    </w:p>
    <w:p w:rsidR="00875299" w:rsidRPr="00087B82" w:rsidRDefault="00875299" w:rsidP="00087B82">
      <w:pPr>
        <w:widowControl w:val="0"/>
        <w:spacing w:line="240" w:lineRule="auto"/>
      </w:pPr>
      <w:r w:rsidRPr="00087B82">
        <w:t> </w:t>
      </w:r>
    </w:p>
    <w:p w:rsidR="00087B82" w:rsidRPr="00087B82" w:rsidRDefault="00087B82" w:rsidP="00087B82">
      <w:pPr>
        <w:spacing w:line="240" w:lineRule="auto"/>
      </w:pPr>
    </w:p>
    <w:sectPr w:rsidR="00087B82" w:rsidRPr="00087B82" w:rsidSect="0087529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299"/>
    <w:rsid w:val="00041AE0"/>
    <w:rsid w:val="00087B82"/>
    <w:rsid w:val="0087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99"/>
    <w:pPr>
      <w:spacing w:after="180" w:line="271" w:lineRule="auto"/>
      <w:jc w:val="center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875299"/>
    <w:pPr>
      <w:spacing w:after="180" w:line="271" w:lineRule="auto"/>
      <w:jc w:val="center"/>
    </w:pPr>
    <w:rPr>
      <w:rFonts w:ascii="Gill Sans MT" w:eastAsia="Times New Roman" w:hAnsi="Gill Sans MT" w:cs="Times New Roman"/>
      <w:i/>
      <w:iCs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cp:lastPrinted>2015-08-14T03:02:00Z</cp:lastPrinted>
  <dcterms:created xsi:type="dcterms:W3CDTF">2015-08-14T02:58:00Z</dcterms:created>
  <dcterms:modified xsi:type="dcterms:W3CDTF">2015-08-14T03:07:00Z</dcterms:modified>
</cp:coreProperties>
</file>