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D2A9" w14:textId="77777777" w:rsidR="003D48D6" w:rsidRDefault="003D48D6" w:rsidP="003D4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t>Use the following links to access the</w:t>
      </w:r>
      <w:r w:rsidRPr="003D48D6">
        <w:t xml:space="preserve"> LCW publications</w:t>
      </w:r>
      <w:r>
        <w:t xml:space="preserve"> that were</w:t>
      </w:r>
      <w:r w:rsidRPr="003D48D6">
        <w:t xml:space="preserve"> mentioned regarding the workers’ compensation presumption and </w:t>
      </w:r>
      <w:proofErr w:type="spellStart"/>
      <w:r w:rsidRPr="003D48D6">
        <w:t>CalOSHA</w:t>
      </w:r>
      <w:proofErr w:type="spellEnd"/>
      <w:r w:rsidRPr="003D48D6">
        <w:t xml:space="preserve"> standards during the Town Hall – Legal Eagles session. </w:t>
      </w:r>
    </w:p>
    <w:p w14:paraId="1EAC7D15" w14:textId="77777777" w:rsidR="003D48D6" w:rsidRDefault="003D48D6" w:rsidP="003D4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Franklin Gothic Book" w:hAnsi="Franklin Gothic Book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A474061" w14:textId="77777777" w:rsidR="003D48D6" w:rsidRPr="003D48D6" w:rsidRDefault="003D48D6" w:rsidP="003D48D6">
      <w:pPr>
        <w:pStyle w:val="NormalWeb"/>
        <w:shd w:val="clear" w:color="auto" w:fill="FFFFFF"/>
        <w:spacing w:before="0" w:beforeAutospacing="0" w:after="0" w:afterAutospacing="0"/>
      </w:pPr>
      <w:r w:rsidRPr="003D48D6">
        <w:t>Special Bulletin</w:t>
      </w:r>
    </w:p>
    <w:p w14:paraId="7A7DBA74" w14:textId="77777777" w:rsidR="003D48D6" w:rsidRDefault="00F3373B" w:rsidP="003D4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 w:rsidR="003D48D6">
          <w:rPr>
            <w:rStyle w:val="Hyperlink"/>
            <w:rFonts w:ascii="Franklin Gothic Book" w:eastAsiaTheme="majorEastAsia" w:hAnsi="Franklin Gothic Book" w:cs="Calibri"/>
            <w:sz w:val="22"/>
            <w:szCs w:val="22"/>
            <w:bdr w:val="none" w:sz="0" w:space="0" w:color="auto" w:frame="1"/>
          </w:rPr>
          <w:t>https://www.lcwlegal.com/news/governor-newsom-signs-sb-1159-and-ab-685-into-law-impacting-covid-19-related-workers-compensation-coverage-and-creating-new-notice-and-reporting-requirements-related-to-covid-19-workplace-exposures</w:t>
        </w:r>
      </w:hyperlink>
    </w:p>
    <w:p w14:paraId="4466DF96" w14:textId="77777777" w:rsidR="003D48D6" w:rsidRDefault="003D48D6" w:rsidP="003D4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Franklin Gothic Book" w:hAnsi="Franklin Gothic Book" w:cs="Calibri"/>
          <w:color w:val="201F1E"/>
          <w:sz w:val="22"/>
          <w:szCs w:val="22"/>
          <w:bdr w:val="none" w:sz="0" w:space="0" w:color="auto" w:frame="1"/>
        </w:rPr>
        <w:t> </w:t>
      </w:r>
    </w:p>
    <w:p w14:paraId="399C699D" w14:textId="77777777" w:rsidR="003D48D6" w:rsidRPr="003D48D6" w:rsidRDefault="003D48D6" w:rsidP="003D48D6">
      <w:pPr>
        <w:pStyle w:val="NormalWeb"/>
        <w:shd w:val="clear" w:color="auto" w:fill="FFFFFF"/>
        <w:spacing w:before="0" w:beforeAutospacing="0" w:after="0" w:afterAutospacing="0"/>
      </w:pPr>
      <w:r w:rsidRPr="003D48D6">
        <w:t>Public Education Legislative Roundup:</w:t>
      </w:r>
    </w:p>
    <w:p w14:paraId="408C89FF" w14:textId="77777777" w:rsidR="003D48D6" w:rsidRPr="003D48D6" w:rsidRDefault="003D48D6" w:rsidP="003D48D6">
      <w:pPr>
        <w:pStyle w:val="NormalWeb"/>
        <w:shd w:val="clear" w:color="auto" w:fill="FFFFFF"/>
        <w:spacing w:before="0" w:beforeAutospacing="0" w:after="0" w:afterAutospacing="0"/>
      </w:pPr>
      <w:r w:rsidRPr="003D48D6">
        <w:t> SB 1159: </w:t>
      </w:r>
    </w:p>
    <w:p w14:paraId="6A96CCEF" w14:textId="77777777" w:rsidR="003D48D6" w:rsidRDefault="00F3373B" w:rsidP="003D48D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hyperlink r:id="rId6" w:history="1">
        <w:r w:rsidR="003D48D6" w:rsidRPr="007726A9">
          <w:rPr>
            <w:rStyle w:val="Hyperlink"/>
            <w:rFonts w:ascii="Franklin Gothic Book" w:eastAsiaTheme="majorEastAsia" w:hAnsi="Franklin Gothic Book" w:cs="Calibri"/>
            <w:sz w:val="22"/>
            <w:szCs w:val="22"/>
            <w:bdr w:val="none" w:sz="0" w:space="0" w:color="auto" w:frame="1"/>
          </w:rPr>
          <w:t>https://www.lcwlegal.com/news/sb-1159-presumes-covid-19-qualifies-for-workers-compensation-if-employees-test-positive-within-14-days-of-reporting-to-work-or-after-a-workplace-outbreak-urgency-bill-effective-immediately-on-september-17-2020-2</w:t>
        </w:r>
      </w:hyperlink>
    </w:p>
    <w:p w14:paraId="3640C9BC" w14:textId="77777777" w:rsidR="003D48D6" w:rsidRPr="003D48D6" w:rsidRDefault="003D48D6" w:rsidP="003D48D6">
      <w:pPr>
        <w:pStyle w:val="NormalWeb"/>
        <w:shd w:val="clear" w:color="auto" w:fill="FFFFFF"/>
        <w:spacing w:before="0" w:beforeAutospacing="0" w:after="0" w:afterAutospacing="0"/>
      </w:pPr>
      <w:r w:rsidRPr="003D48D6">
        <w:t> AB 685:</w:t>
      </w:r>
    </w:p>
    <w:p w14:paraId="6E881420" w14:textId="77777777" w:rsidR="003D48D6" w:rsidRDefault="00F3373B" w:rsidP="003D48D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hyperlink r:id="rId7" w:history="1">
        <w:r w:rsidR="003D48D6" w:rsidRPr="007726A9">
          <w:rPr>
            <w:rStyle w:val="Hyperlink"/>
            <w:rFonts w:ascii="Franklin Gothic Book" w:eastAsiaTheme="majorEastAsia" w:hAnsi="Franklin Gothic Book" w:cs="Calibri"/>
            <w:sz w:val="22"/>
            <w:szCs w:val="22"/>
            <w:bdr w:val="none" w:sz="0" w:space="0" w:color="auto" w:frame="1"/>
          </w:rPr>
          <w:t>https://www.lcwlegal.com/news/ab-685-expands-cal-osha-enforcement-powers-and-enacts-stricter-health-and-safety-rules-relating-to-covid-19-3</w:t>
        </w:r>
      </w:hyperlink>
    </w:p>
    <w:p w14:paraId="7578FFDD" w14:textId="77777777" w:rsidR="001C1914" w:rsidRDefault="001C1914"/>
    <w:sectPr w:rsidR="001C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07E73"/>
    <w:multiLevelType w:val="hybridMultilevel"/>
    <w:tmpl w:val="F1C006CC"/>
    <w:lvl w:ilvl="0" w:tplc="2B26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4FEC"/>
    <w:multiLevelType w:val="hybridMultilevel"/>
    <w:tmpl w:val="D07CC1BA"/>
    <w:lvl w:ilvl="0" w:tplc="6F022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90E1A"/>
    <w:multiLevelType w:val="hybridMultilevel"/>
    <w:tmpl w:val="2582586A"/>
    <w:lvl w:ilvl="0" w:tplc="395A98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821BD5"/>
    <w:multiLevelType w:val="multilevel"/>
    <w:tmpl w:val="D24A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D6"/>
    <w:rsid w:val="0017216A"/>
    <w:rsid w:val="0018743A"/>
    <w:rsid w:val="001C1914"/>
    <w:rsid w:val="003D48D6"/>
    <w:rsid w:val="0094255F"/>
    <w:rsid w:val="00DA5658"/>
    <w:rsid w:val="00E45AAD"/>
    <w:rsid w:val="00F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236F"/>
  <w15:chartTrackingRefBased/>
  <w15:docId w15:val="{48DD566A-262F-4802-84B5-0B8CDA4B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AD"/>
    <w:pPr>
      <w:widowControl w:val="0"/>
      <w:autoSpaceDE w:val="0"/>
      <w:autoSpaceDN w:val="0"/>
      <w:adjustRightInd w:val="0"/>
      <w:spacing w:after="100" w:afterAutospacing="1" w:line="240" w:lineRule="auto"/>
    </w:pPr>
    <w:rPr>
      <w:rFonts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7216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7216A"/>
    <w:pPr>
      <w:keepNext/>
      <w:keepLines/>
      <w:spacing w:before="40"/>
      <w:outlineLvl w:val="1"/>
    </w:pPr>
    <w:rPr>
      <w:rFonts w:eastAsiaTheme="majorEastAsia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16A"/>
    <w:rPr>
      <w:rFonts w:ascii="Century" w:eastAsiaTheme="majorEastAsia" w:hAnsi="Century" w:cstheme="majorBidi"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9425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7216A"/>
    <w:rPr>
      <w:rFonts w:ascii="Century" w:eastAsiaTheme="majorEastAsia" w:hAnsi="Century" w:cstheme="majorBidi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18743A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8743A"/>
    <w:rPr>
      <w:rFonts w:ascii="Century" w:eastAsiaTheme="majorEastAsia" w:hAnsi="Century" w:cstheme="majorBidi"/>
      <w:spacing w:val="-10"/>
      <w:kern w:val="28"/>
      <w:sz w:val="28"/>
      <w:szCs w:val="56"/>
    </w:rPr>
  </w:style>
  <w:style w:type="character" w:styleId="SubtleEmphasis">
    <w:name w:val="Subtle Emphasis"/>
    <w:uiPriority w:val="19"/>
    <w:qFormat/>
    <w:rsid w:val="0017216A"/>
    <w:rPr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7216A"/>
    <w:rPr>
      <w:rFonts w:ascii="Century" w:hAnsi="Century"/>
      <w:b/>
      <w:i w:val="0"/>
      <w:iCs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AAD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5AAD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3D48D6"/>
    <w:pPr>
      <w:widowControl/>
      <w:autoSpaceDE/>
      <w:autoSpaceDN/>
      <w:adjustRightInd/>
      <w:spacing w:before="100" w:before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8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cwlegal.com/news/ab-685-expands-cal-osha-enforcement-powers-and-enacts-stricter-health-and-safety-rules-relating-to-covid-19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cwlegal.com/news/sb-1159-presumes-covid-19-qualifies-for-workers-compensation-if-employees-test-positive-within-14-days-of-reporting-to-work-or-after-a-workplace-outbreak-urgency-bill-effective-immediately-on-september-17-2020-2" TargetMode="External"/><Relationship Id="rId5" Type="http://schemas.openxmlformats.org/officeDocument/2006/relationships/hyperlink" Target="https://www.lcwlegal.com/news/governor-newsom-signs-sb-1159-and-ab-685-into-law-impacting-covid-19-related-workers-compensation-coverage-and-creating-new-notice-and-reporting-requirements-related-to-covid-19-workplace-expos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Kendelynn Quiz</dc:creator>
  <cp:keywords/>
  <dc:description/>
  <cp:lastModifiedBy>Ruth</cp:lastModifiedBy>
  <cp:revision>2</cp:revision>
  <dcterms:created xsi:type="dcterms:W3CDTF">2020-11-17T03:00:00Z</dcterms:created>
  <dcterms:modified xsi:type="dcterms:W3CDTF">2020-11-17T03:00:00Z</dcterms:modified>
</cp:coreProperties>
</file>