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41E" w14:textId="0944B150" w:rsidR="6B2732DA" w:rsidRDefault="00881801" w:rsidP="0A887C2D">
      <w:pPr>
        <w:pStyle w:val="Title"/>
        <w:jc w:val="center"/>
      </w:pPr>
      <w:r>
        <w:rPr>
          <w:b/>
          <w:bCs/>
        </w:rPr>
        <w:t>DEI-Focused Interview Scoring Rubric</w:t>
      </w:r>
    </w:p>
    <w:p w14:paraId="12FE60F0" w14:textId="77777777" w:rsidR="00E155D9" w:rsidRPr="009C6265" w:rsidRDefault="00ED1706" w:rsidP="009C6265">
      <w:pPr>
        <w:pStyle w:val="Title"/>
        <w:jc w:val="center"/>
        <w:rPr>
          <w:b/>
          <w:sz w:val="24"/>
        </w:rPr>
      </w:pPr>
      <w:r w:rsidRPr="009C6265">
        <w:rPr>
          <w:b/>
        </w:rPr>
        <w:t>Strategy Recommendation</w:t>
      </w:r>
    </w:p>
    <w:p w14:paraId="672A6659" w14:textId="77777777" w:rsidR="00ED1706" w:rsidRPr="00ED1706" w:rsidRDefault="00ED1706" w:rsidP="001E6E57">
      <w:pPr>
        <w:spacing w:after="0" w:line="240" w:lineRule="auto"/>
        <w:rPr>
          <w:rFonts w:ascii="Arial" w:hAnsi="Arial" w:cs="Arial"/>
        </w:rPr>
      </w:pPr>
    </w:p>
    <w:p w14:paraId="41F880FB" w14:textId="77B58475" w:rsidR="001E6E57" w:rsidRPr="00ED1706" w:rsidRDefault="001E6E57" w:rsidP="6F526850">
      <w:r w:rsidRPr="6F5268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DEI Strategy:</w:t>
      </w:r>
      <w:r w:rsidRPr="00ED1706">
        <w:t xml:space="preserve"> </w:t>
      </w:r>
      <w:r w:rsidR="00B8359F">
        <w:rPr>
          <w:rFonts w:ascii="Calibri Light" w:eastAsia="Calibri Light" w:hAnsi="Calibri Light" w:cs="Calibri Light"/>
          <w:color w:val="2E74B5" w:themeColor="accent1" w:themeShade="BF"/>
          <w:sz w:val="25"/>
          <w:szCs w:val="25"/>
        </w:rPr>
        <w:t>DEI-Focused Intervie</w:t>
      </w:r>
      <w:r w:rsidR="00881801">
        <w:rPr>
          <w:rFonts w:ascii="Calibri Light" w:eastAsia="Calibri Light" w:hAnsi="Calibri Light" w:cs="Calibri Light"/>
          <w:color w:val="2E74B5" w:themeColor="accent1" w:themeShade="BF"/>
          <w:sz w:val="25"/>
          <w:szCs w:val="25"/>
        </w:rPr>
        <w:t>ws</w:t>
      </w:r>
      <w:r w:rsidR="00ED1706" w:rsidRPr="00ED1706">
        <w:tab/>
      </w:r>
      <w:r w:rsidR="00ED1706" w:rsidRPr="00ED1706">
        <w:tab/>
      </w:r>
      <w:r w:rsidR="009C6265">
        <w:tab/>
      </w:r>
    </w:p>
    <w:p w14:paraId="50BA71B5" w14:textId="50662C75" w:rsidR="001E6E57" w:rsidRPr="00ED1706" w:rsidRDefault="001E6E57" w:rsidP="009C6265">
      <w:pPr>
        <w:pStyle w:val="Heading2"/>
      </w:pPr>
      <w:r>
        <w:t xml:space="preserve">ACHRO Workgroups: </w:t>
      </w:r>
      <w:r w:rsidR="007C791F">
        <w:t>Screening Criteria; Interviews; BPs/APs/Hiring Procedures</w:t>
      </w:r>
    </w:p>
    <w:p w14:paraId="0A37501D" w14:textId="77777777" w:rsidR="001E6E57" w:rsidRDefault="001E6E57" w:rsidP="001E6E57">
      <w:pPr>
        <w:spacing w:after="0" w:line="240" w:lineRule="auto"/>
      </w:pPr>
    </w:p>
    <w:p w14:paraId="1BDB2434" w14:textId="0EC97A59" w:rsidR="007C791F" w:rsidRDefault="007C791F" w:rsidP="0A887C2D">
      <w:pPr>
        <w:pStyle w:val="Subtitle"/>
        <w:rPr>
          <w:rStyle w:val="SubtleEmphasis"/>
          <w:rFonts w:ascii="Calibri" w:hAnsi="Calibri"/>
          <w:color w:val="5A5A5A"/>
        </w:rPr>
      </w:pPr>
      <w:r w:rsidRPr="0A887C2D">
        <w:rPr>
          <w:rStyle w:val="SubtleEmphasis"/>
        </w:rPr>
        <w:t xml:space="preserve">Version Date: </w:t>
      </w:r>
      <w:r w:rsidR="00B8359F">
        <w:rPr>
          <w:rStyle w:val="SubtleEmphasis"/>
        </w:rPr>
        <w:t>April 1</w:t>
      </w:r>
      <w:r w:rsidR="17D750CD" w:rsidRPr="0A887C2D">
        <w:rPr>
          <w:rStyle w:val="SubtleEmphasis"/>
        </w:rPr>
        <w:t>, 2021</w:t>
      </w:r>
    </w:p>
    <w:p w14:paraId="71692602" w14:textId="77777777" w:rsidR="001E6E57" w:rsidRPr="00ED1706" w:rsidRDefault="001E6E57" w:rsidP="00ED1706">
      <w:pPr>
        <w:pStyle w:val="Heading1"/>
      </w:pPr>
      <w:r w:rsidRPr="00ED1706">
        <w:t>Issue Statement</w:t>
      </w:r>
    </w:p>
    <w:p w14:paraId="617D855A" w14:textId="7FBF98E8" w:rsidR="759B4E18" w:rsidRDefault="759B4E18" w:rsidP="759B4E18">
      <w:pPr>
        <w:pStyle w:val="NoSpacing"/>
      </w:pPr>
    </w:p>
    <w:p w14:paraId="361886BF" w14:textId="5AF44F6F" w:rsidR="759B4E18" w:rsidRDefault="00777E52" w:rsidP="0A887C2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Commonly used interview formats prioritize</w:t>
      </w:r>
      <w:r w:rsidR="6D1BB7AC" w:rsidRPr="0A887C2D">
        <w:rPr>
          <w:rFonts w:ascii="Calibri" w:eastAsia="Calibri" w:hAnsi="Calibri" w:cs="Calibri"/>
        </w:rPr>
        <w:t xml:space="preserve"> technical competence, </w:t>
      </w:r>
      <w:r w:rsidR="2EBD305B" w:rsidRPr="0A887C2D">
        <w:rPr>
          <w:rFonts w:ascii="Calibri" w:eastAsia="Calibri" w:hAnsi="Calibri" w:cs="Calibri"/>
        </w:rPr>
        <w:t>experience,</w:t>
      </w:r>
      <w:r w:rsidR="6D1BB7AC" w:rsidRPr="0A887C2D">
        <w:rPr>
          <w:rFonts w:ascii="Calibri" w:eastAsia="Calibri" w:hAnsi="Calibri" w:cs="Calibri"/>
        </w:rPr>
        <w:t xml:space="preserve"> and subject area knowledge without adequately assessing the </w:t>
      </w:r>
      <w:r w:rsidR="00887143">
        <w:rPr>
          <w:rFonts w:ascii="Calibri" w:eastAsia="Calibri" w:hAnsi="Calibri" w:cs="Calibri"/>
        </w:rPr>
        <w:t>ability to</w:t>
      </w:r>
      <w:r w:rsidR="6D1BB7AC" w:rsidRPr="0A887C2D">
        <w:rPr>
          <w:rFonts w:ascii="Calibri" w:eastAsia="Calibri" w:hAnsi="Calibri" w:cs="Calibri"/>
        </w:rPr>
        <w:t xml:space="preserve"> </w:t>
      </w:r>
      <w:r w:rsidR="00432D7E">
        <w:rPr>
          <w:rFonts w:ascii="Calibri" w:eastAsia="Calibri" w:hAnsi="Calibri" w:cs="Calibri"/>
        </w:rPr>
        <w:t>apply</w:t>
      </w:r>
      <w:r w:rsidR="6D1BB7AC" w:rsidRPr="0A887C2D">
        <w:rPr>
          <w:rFonts w:ascii="Calibri" w:eastAsia="Calibri" w:hAnsi="Calibri" w:cs="Calibri"/>
        </w:rPr>
        <w:t xml:space="preserve"> technical skills wi</w:t>
      </w:r>
      <w:r w:rsidR="00432D7E">
        <w:rPr>
          <w:rFonts w:ascii="Calibri" w:eastAsia="Calibri" w:hAnsi="Calibri" w:cs="Calibri"/>
        </w:rPr>
        <w:t>th diverse student</w:t>
      </w:r>
      <w:r w:rsidR="00B12A20">
        <w:rPr>
          <w:rFonts w:ascii="Calibri" w:eastAsia="Calibri" w:hAnsi="Calibri" w:cs="Calibri"/>
        </w:rPr>
        <w:t xml:space="preserve"> populations, employee groups, and communities to increase equity and inclusion</w:t>
      </w:r>
      <w:r w:rsidR="6D1BB7AC" w:rsidRPr="0A887C2D">
        <w:rPr>
          <w:rFonts w:ascii="Calibri" w:eastAsia="Calibri" w:hAnsi="Calibri" w:cs="Calibri"/>
        </w:rPr>
        <w:t>.</w:t>
      </w:r>
    </w:p>
    <w:p w14:paraId="4F4917D4" w14:textId="77777777" w:rsidR="001E6E57" w:rsidRPr="00ED1706" w:rsidRDefault="001E6E57" w:rsidP="00ED1706">
      <w:pPr>
        <w:pStyle w:val="Heading1"/>
      </w:pPr>
      <w:r>
        <w:t>Strategy Proposal</w:t>
      </w:r>
    </w:p>
    <w:p w14:paraId="3B44F6DE" w14:textId="3EE1C0E9" w:rsidR="3353D8A7" w:rsidRDefault="3353D8A7" w:rsidP="3353D8A7">
      <w:pPr>
        <w:pStyle w:val="NoSpacing"/>
      </w:pPr>
    </w:p>
    <w:p w14:paraId="67FD1BD6" w14:textId="0A153277" w:rsidR="37F42E0C" w:rsidRDefault="017365F1" w:rsidP="0A887C2D">
      <w:pPr>
        <w:rPr>
          <w:rFonts w:ascii="Calibri" w:eastAsia="Calibri" w:hAnsi="Calibri" w:cs="Calibri"/>
        </w:rPr>
      </w:pPr>
      <w:r w:rsidRPr="0A887C2D">
        <w:rPr>
          <w:rFonts w:ascii="Calibri" w:eastAsia="Calibri" w:hAnsi="Calibri" w:cs="Calibri"/>
        </w:rPr>
        <w:t xml:space="preserve">Revise </w:t>
      </w:r>
      <w:r w:rsidR="008D174C">
        <w:rPr>
          <w:rFonts w:ascii="Calibri" w:eastAsia="Calibri" w:hAnsi="Calibri" w:cs="Calibri"/>
        </w:rPr>
        <w:t xml:space="preserve">interview </w:t>
      </w:r>
      <w:r w:rsidRPr="0A887C2D">
        <w:rPr>
          <w:rFonts w:ascii="Calibri" w:eastAsia="Calibri" w:hAnsi="Calibri" w:cs="Calibri"/>
        </w:rPr>
        <w:t>policies and procedures to require committees</w:t>
      </w:r>
      <w:r w:rsidR="5A51D295" w:rsidRPr="0A887C2D">
        <w:rPr>
          <w:rFonts w:ascii="Calibri" w:eastAsia="Calibri" w:hAnsi="Calibri" w:cs="Calibri"/>
        </w:rPr>
        <w:t xml:space="preserve"> for all positions</w:t>
      </w:r>
      <w:r w:rsidRPr="0A887C2D">
        <w:rPr>
          <w:rFonts w:ascii="Calibri" w:eastAsia="Calibri" w:hAnsi="Calibri" w:cs="Calibri"/>
        </w:rPr>
        <w:t xml:space="preserve"> to </w:t>
      </w:r>
      <w:r w:rsidR="00605CBF">
        <w:rPr>
          <w:rFonts w:ascii="Calibri" w:eastAsia="Calibri" w:hAnsi="Calibri" w:cs="Calibri"/>
        </w:rPr>
        <w:t>evaluate</w:t>
      </w:r>
      <w:r w:rsidR="55BC0615" w:rsidRPr="0A887C2D">
        <w:rPr>
          <w:rFonts w:ascii="Calibri" w:eastAsia="Calibri" w:hAnsi="Calibri" w:cs="Calibri"/>
        </w:rPr>
        <w:t xml:space="preserve"> </w:t>
      </w:r>
      <w:r w:rsidR="00BE607A">
        <w:rPr>
          <w:rFonts w:ascii="Calibri" w:eastAsia="Calibri" w:hAnsi="Calibri" w:cs="Calibri"/>
        </w:rPr>
        <w:t xml:space="preserve">responses to </w:t>
      </w:r>
      <w:r w:rsidRPr="0A887C2D">
        <w:rPr>
          <w:rFonts w:ascii="Calibri" w:eastAsia="Calibri" w:hAnsi="Calibri" w:cs="Calibri"/>
        </w:rPr>
        <w:t xml:space="preserve">interview questions, writing tasks, and </w:t>
      </w:r>
      <w:r w:rsidR="008D174C">
        <w:rPr>
          <w:rFonts w:ascii="Calibri" w:eastAsia="Calibri" w:hAnsi="Calibri" w:cs="Calibri"/>
        </w:rPr>
        <w:t>work</w:t>
      </w:r>
      <w:r w:rsidRPr="0A887C2D">
        <w:rPr>
          <w:rFonts w:ascii="Calibri" w:eastAsia="Calibri" w:hAnsi="Calibri" w:cs="Calibri"/>
        </w:rPr>
        <w:t xml:space="preserve"> demonstrations (as applicable) </w:t>
      </w:r>
      <w:r w:rsidR="00BE607A">
        <w:rPr>
          <w:rFonts w:ascii="Calibri" w:eastAsia="Calibri" w:hAnsi="Calibri" w:cs="Calibri"/>
        </w:rPr>
        <w:t>for</w:t>
      </w:r>
      <w:r w:rsidRPr="0A887C2D">
        <w:rPr>
          <w:rFonts w:ascii="Calibri" w:eastAsia="Calibri" w:hAnsi="Calibri" w:cs="Calibri"/>
        </w:rPr>
        <w:t xml:space="preserve"> </w:t>
      </w:r>
      <w:r w:rsidR="00234FFA">
        <w:rPr>
          <w:rFonts w:ascii="Calibri" w:eastAsia="Calibri" w:hAnsi="Calibri" w:cs="Calibri"/>
        </w:rPr>
        <w:t xml:space="preserve">the application of </w:t>
      </w:r>
      <w:r w:rsidRPr="0A887C2D">
        <w:rPr>
          <w:rFonts w:ascii="Calibri" w:eastAsia="Calibri" w:hAnsi="Calibri" w:cs="Calibri"/>
        </w:rPr>
        <w:t>technical competence and subject matter expertis</w:t>
      </w:r>
      <w:r w:rsidR="00FA3FBF">
        <w:rPr>
          <w:rFonts w:ascii="Calibri" w:eastAsia="Calibri" w:hAnsi="Calibri" w:cs="Calibri"/>
        </w:rPr>
        <w:t xml:space="preserve">e </w:t>
      </w:r>
      <w:r w:rsidR="00234FFA">
        <w:rPr>
          <w:rFonts w:ascii="Calibri" w:eastAsia="Calibri" w:hAnsi="Calibri" w:cs="Calibri"/>
        </w:rPr>
        <w:t xml:space="preserve">with diverse communities </w:t>
      </w:r>
      <w:r w:rsidR="00546F48">
        <w:rPr>
          <w:rFonts w:ascii="Calibri" w:eastAsia="Calibri" w:hAnsi="Calibri" w:cs="Calibri"/>
        </w:rPr>
        <w:t>with demonstrated positive contributions to equity and inclusion</w:t>
      </w:r>
      <w:r w:rsidR="5180344F" w:rsidRPr="0A887C2D">
        <w:rPr>
          <w:rFonts w:ascii="Calibri" w:eastAsia="Calibri" w:hAnsi="Calibri" w:cs="Calibri"/>
        </w:rPr>
        <w:t>.</w:t>
      </w:r>
    </w:p>
    <w:p w14:paraId="5530E2A6" w14:textId="77777777" w:rsidR="001E6E57" w:rsidRPr="00ED1706" w:rsidRDefault="001E6E57" w:rsidP="00ED1706">
      <w:pPr>
        <w:pStyle w:val="Heading1"/>
      </w:pPr>
      <w:r w:rsidRPr="00ED1706">
        <w:t>Current Challenges</w:t>
      </w:r>
    </w:p>
    <w:p w14:paraId="0D22EC57" w14:textId="09FCA5B0" w:rsidR="7095E499" w:rsidRPr="00026FF0" w:rsidRDefault="45850E64" w:rsidP="5060A34B">
      <w:pPr>
        <w:pStyle w:val="ListParagraph"/>
        <w:numPr>
          <w:ilvl w:val="0"/>
          <w:numId w:val="8"/>
        </w:numPr>
        <w:ind w:left="630"/>
        <w:rPr>
          <w:rFonts w:eastAsiaTheme="minorEastAsia"/>
        </w:rPr>
      </w:pPr>
      <w:r>
        <w:t xml:space="preserve">Subject matter expertise is overvalued </w:t>
      </w:r>
      <w:r w:rsidR="1F5A09A8">
        <w:t xml:space="preserve">in the evaluation of </w:t>
      </w:r>
      <w:r w:rsidR="41670815">
        <w:t>applicants</w:t>
      </w:r>
      <w:r w:rsidR="064F9B05">
        <w:t xml:space="preserve"> during </w:t>
      </w:r>
      <w:r w:rsidR="398EFE13">
        <w:t>interviews and</w:t>
      </w:r>
      <w:r>
        <w:t xml:space="preserve"> ability to serve people from diverse communities </w:t>
      </w:r>
      <w:r w:rsidR="00FD7C58">
        <w:t xml:space="preserve">equitably </w:t>
      </w:r>
      <w:r>
        <w:t xml:space="preserve">is </w:t>
      </w:r>
      <w:r w:rsidR="18E170AC">
        <w:t>undervalued.</w:t>
      </w:r>
    </w:p>
    <w:p w14:paraId="3C6D0EE7" w14:textId="7E87B22A" w:rsidR="00026FF0" w:rsidRDefault="00026FF0" w:rsidP="5060A34B">
      <w:pPr>
        <w:pStyle w:val="ListParagraph"/>
        <w:numPr>
          <w:ilvl w:val="0"/>
          <w:numId w:val="8"/>
        </w:numPr>
        <w:ind w:left="630"/>
        <w:rPr>
          <w:rFonts w:eastAsiaTheme="minorEastAsia"/>
        </w:rPr>
      </w:pPr>
      <w:r>
        <w:t xml:space="preserve">Traditional interview processes </w:t>
      </w:r>
      <w:r w:rsidR="00AC5751">
        <w:t xml:space="preserve">tend to </w:t>
      </w:r>
      <w:r>
        <w:t xml:space="preserve">reinforce cultural biases </w:t>
      </w:r>
      <w:r w:rsidR="00771669">
        <w:t xml:space="preserve">which </w:t>
      </w:r>
      <w:r w:rsidR="001A7EE7">
        <w:t>undervalue</w:t>
      </w:r>
      <w:r w:rsidR="00771669">
        <w:t xml:space="preserve"> job-related performance within a </w:t>
      </w:r>
      <w:r w:rsidR="001A7EE7">
        <w:t>culturally diverse</w:t>
      </w:r>
      <w:r w:rsidR="00771669">
        <w:t xml:space="preserve"> environment.</w:t>
      </w:r>
    </w:p>
    <w:p w14:paraId="4CDAAF0F" w14:textId="054C2FB3" w:rsidR="7095E499" w:rsidRDefault="005D05AD" w:rsidP="0A887C2D">
      <w:pPr>
        <w:pStyle w:val="ListParagraph"/>
        <w:numPr>
          <w:ilvl w:val="0"/>
          <w:numId w:val="8"/>
        </w:numPr>
        <w:ind w:left="630"/>
        <w:rPr>
          <w:color w:val="000000" w:themeColor="text1"/>
        </w:rPr>
      </w:pPr>
      <w:r>
        <w:t>Interview</w:t>
      </w:r>
      <w:r w:rsidR="458E6509" w:rsidRPr="0A887C2D">
        <w:t xml:space="preserve"> committees </w:t>
      </w:r>
      <w:r w:rsidR="002D10A2">
        <w:t xml:space="preserve">may </w:t>
      </w:r>
      <w:r w:rsidR="458E6509" w:rsidRPr="0A887C2D">
        <w:t xml:space="preserve">lack </w:t>
      </w:r>
      <w:r w:rsidR="00530E9F">
        <w:t>training to</w:t>
      </w:r>
      <w:r w:rsidR="458E6509" w:rsidRPr="0A887C2D">
        <w:t xml:space="preserve"> create </w:t>
      </w:r>
      <w:r w:rsidR="203EA21E" w:rsidRPr="0A887C2D">
        <w:t xml:space="preserve">and assess </w:t>
      </w:r>
      <w:r w:rsidR="002D10A2">
        <w:t>interview</w:t>
      </w:r>
      <w:r w:rsidR="203EA21E" w:rsidRPr="0A887C2D">
        <w:t xml:space="preserve"> questions through </w:t>
      </w:r>
      <w:r w:rsidR="458E6509" w:rsidRPr="0A887C2D">
        <w:t xml:space="preserve">a </w:t>
      </w:r>
      <w:r w:rsidR="00530E9F">
        <w:t>DEI framework</w:t>
      </w:r>
      <w:r w:rsidR="10C5D891" w:rsidRPr="0A887C2D">
        <w:t>.</w:t>
      </w:r>
    </w:p>
    <w:p w14:paraId="24A2955D" w14:textId="2B825691" w:rsidR="7095E499" w:rsidRDefault="005D05AD" w:rsidP="0A887C2D">
      <w:pPr>
        <w:pStyle w:val="ListParagraph"/>
        <w:numPr>
          <w:ilvl w:val="0"/>
          <w:numId w:val="8"/>
        </w:numPr>
        <w:ind w:left="630"/>
        <w:rPr>
          <w:color w:val="000000" w:themeColor="text1"/>
        </w:rPr>
      </w:pPr>
      <w:r>
        <w:t>Interview</w:t>
      </w:r>
      <w:r w:rsidR="458E6509" w:rsidRPr="0A887C2D">
        <w:t xml:space="preserve"> committees lack</w:t>
      </w:r>
      <w:r>
        <w:t>ing</w:t>
      </w:r>
      <w:r w:rsidR="458E6509" w:rsidRPr="0A887C2D">
        <w:t xml:space="preserve"> diversity and/or an understanding of how to serve people from diverse </w:t>
      </w:r>
      <w:r w:rsidR="39E69875" w:rsidRPr="0A887C2D">
        <w:t>communities</w:t>
      </w:r>
      <w:r>
        <w:t xml:space="preserve"> </w:t>
      </w:r>
      <w:r w:rsidR="00514B4A">
        <w:t xml:space="preserve">effectively </w:t>
      </w:r>
      <w:r>
        <w:t xml:space="preserve">may </w:t>
      </w:r>
      <w:r w:rsidR="00644D88">
        <w:t>struggle to implement DEI-focused interview scoring methods</w:t>
      </w:r>
      <w:r w:rsidR="68FB52E3" w:rsidRPr="0A887C2D">
        <w:t>.</w:t>
      </w:r>
    </w:p>
    <w:p w14:paraId="591D2ECD" w14:textId="158C82AF" w:rsidR="7095E499" w:rsidRDefault="3C24E153" w:rsidP="0A887C2D">
      <w:pPr>
        <w:pStyle w:val="ListParagraph"/>
        <w:numPr>
          <w:ilvl w:val="0"/>
          <w:numId w:val="8"/>
        </w:numPr>
        <w:ind w:left="630"/>
        <w:rPr>
          <w:color w:val="000000" w:themeColor="text1"/>
        </w:rPr>
      </w:pPr>
      <w:r w:rsidRPr="0A887C2D">
        <w:t xml:space="preserve">Selection committees may mistake </w:t>
      </w:r>
      <w:r w:rsidR="0977517C" w:rsidRPr="0A887C2D">
        <w:t>a DEI focus</w:t>
      </w:r>
      <w:r w:rsidRPr="0A887C2D">
        <w:t xml:space="preserve"> </w:t>
      </w:r>
      <w:r w:rsidR="2C9880FC" w:rsidRPr="0A887C2D">
        <w:t xml:space="preserve">in evaluating interviews </w:t>
      </w:r>
      <w:r w:rsidRPr="0A887C2D">
        <w:t xml:space="preserve">as an EEO violation </w:t>
      </w:r>
      <w:r w:rsidR="62E5D292" w:rsidRPr="0A887C2D">
        <w:t xml:space="preserve">or preference for </w:t>
      </w:r>
      <w:r w:rsidRPr="0A887C2D">
        <w:t xml:space="preserve">hiring </w:t>
      </w:r>
      <w:r w:rsidR="00644D88">
        <w:t>candidate</w:t>
      </w:r>
      <w:r w:rsidRPr="0A887C2D">
        <w:t xml:space="preserve"> </w:t>
      </w:r>
      <w:r w:rsidR="00644D88">
        <w:t>based on</w:t>
      </w:r>
      <w:r w:rsidRPr="0A887C2D">
        <w:t xml:space="preserve"> race</w:t>
      </w:r>
      <w:r w:rsidR="734D637E" w:rsidRPr="0A887C2D">
        <w:t>, ethnicity, gender, etc</w:t>
      </w:r>
      <w:r w:rsidRPr="0A887C2D">
        <w:t xml:space="preserve">. </w:t>
      </w:r>
    </w:p>
    <w:p w14:paraId="3F421DE7" w14:textId="345883A2" w:rsidR="7095E499" w:rsidRDefault="001D0981" w:rsidP="0A887C2D">
      <w:pPr>
        <w:pStyle w:val="ListParagraph"/>
        <w:numPr>
          <w:ilvl w:val="0"/>
          <w:numId w:val="8"/>
        </w:numPr>
        <w:ind w:left="630"/>
        <w:rPr>
          <w:color w:val="000000" w:themeColor="text1"/>
        </w:rPr>
      </w:pPr>
      <w:r>
        <w:t>Districts may encourage resistance in</w:t>
      </w:r>
      <w:r w:rsidR="70F0354C" w:rsidRPr="0A887C2D">
        <w:t xml:space="preserve"> participatory governance </w:t>
      </w:r>
      <w:r>
        <w:t>committees</w:t>
      </w:r>
      <w:r w:rsidR="70F0354C" w:rsidRPr="0A887C2D">
        <w:t xml:space="preserve"> to </w:t>
      </w:r>
      <w:r w:rsidR="7D79CB11" w:rsidRPr="0A887C2D">
        <w:t>changes</w:t>
      </w:r>
      <w:r w:rsidR="70F0354C" w:rsidRPr="0A887C2D">
        <w:t xml:space="preserve"> to </w:t>
      </w:r>
      <w:r>
        <w:t>interview</w:t>
      </w:r>
      <w:r w:rsidR="70F0354C" w:rsidRPr="0A887C2D">
        <w:t xml:space="preserve"> process</w:t>
      </w:r>
      <w:r>
        <w:t>es</w:t>
      </w:r>
      <w:r w:rsidR="70F0354C" w:rsidRPr="0A887C2D">
        <w:t xml:space="preserve"> that </w:t>
      </w:r>
      <w:r>
        <w:t>emphasize DEI engagement</w:t>
      </w:r>
      <w:r w:rsidR="37809446" w:rsidRPr="0A887C2D">
        <w:t>.</w:t>
      </w:r>
    </w:p>
    <w:p w14:paraId="09E2A7AF" w14:textId="2E9E753D" w:rsidR="2B3CAF0A" w:rsidRDefault="001D0981" w:rsidP="0A887C2D">
      <w:pPr>
        <w:pStyle w:val="ListParagraph"/>
        <w:numPr>
          <w:ilvl w:val="0"/>
          <w:numId w:val="8"/>
        </w:numPr>
        <w:ind w:left="630"/>
        <w:rPr>
          <w:color w:val="000000" w:themeColor="text1"/>
        </w:rPr>
      </w:pPr>
      <w:r>
        <w:t>C</w:t>
      </w:r>
      <w:r w:rsidR="55DF2825" w:rsidRPr="0A887C2D">
        <w:t xml:space="preserve">ommittee </w:t>
      </w:r>
      <w:r>
        <w:t xml:space="preserve">members </w:t>
      </w:r>
      <w:r w:rsidR="55DF2825" w:rsidRPr="0A887C2D">
        <w:t xml:space="preserve">may </w:t>
      </w:r>
      <w:r>
        <w:t xml:space="preserve">be reluctant to engage in </w:t>
      </w:r>
      <w:r w:rsidR="005A20AC">
        <w:t>robust deliberations focused on DEI engagement</w:t>
      </w:r>
      <w:r w:rsidR="63CF5083" w:rsidRPr="0A887C2D">
        <w:t>.</w:t>
      </w:r>
      <w:r w:rsidR="55DF2825" w:rsidRPr="0A887C2D">
        <w:t xml:space="preserve"> </w:t>
      </w:r>
    </w:p>
    <w:p w14:paraId="34C7EFC2" w14:textId="0D75D388" w:rsidR="23388C28" w:rsidRDefault="005A20AC" w:rsidP="0A887C2D">
      <w:pPr>
        <w:pStyle w:val="ListParagraph"/>
        <w:numPr>
          <w:ilvl w:val="0"/>
          <w:numId w:val="8"/>
        </w:numPr>
        <w:ind w:left="630"/>
        <w:rPr>
          <w:color w:val="000000" w:themeColor="text1"/>
        </w:rPr>
      </w:pPr>
      <w:r>
        <w:t>I</w:t>
      </w:r>
      <w:r w:rsidR="00D45E78">
        <w:t>f not designed properly, i</w:t>
      </w:r>
      <w:r w:rsidR="23388C28" w:rsidRPr="0A887C2D">
        <w:t xml:space="preserve">nterview scoring </w:t>
      </w:r>
      <w:r>
        <w:t>tools may</w:t>
      </w:r>
      <w:r w:rsidR="23388C28" w:rsidRPr="0A887C2D">
        <w:t xml:space="preserve"> be manipulated </w:t>
      </w:r>
      <w:r w:rsidR="00D45E78">
        <w:t xml:space="preserve">by resistant committee members </w:t>
      </w:r>
      <w:r w:rsidR="23388C28" w:rsidRPr="0A887C2D">
        <w:t xml:space="preserve">to diminish </w:t>
      </w:r>
      <w:r>
        <w:t>the importance of DEI-related criteria</w:t>
      </w:r>
      <w:r w:rsidR="36FA2339" w:rsidRPr="0A887C2D">
        <w:t>.</w:t>
      </w:r>
    </w:p>
    <w:p w14:paraId="438E8EAB" w14:textId="77777777" w:rsidR="00E71EEE" w:rsidRPr="00ED1706" w:rsidRDefault="4911B5E6" w:rsidP="00ED1706">
      <w:pPr>
        <w:pStyle w:val="Heading1"/>
      </w:pPr>
      <w:r>
        <w:lastRenderedPageBreak/>
        <w:t>Strategy Recommendations</w:t>
      </w:r>
    </w:p>
    <w:p w14:paraId="6BA0B493" w14:textId="77777777" w:rsidR="00E71EEE" w:rsidRPr="00ED1706" w:rsidRDefault="00C723CC" w:rsidP="00ED1706">
      <w:pPr>
        <w:pStyle w:val="Heading2"/>
      </w:pPr>
      <w:r>
        <w:t>Training</w:t>
      </w:r>
    </w:p>
    <w:p w14:paraId="65CD4229" w14:textId="04E0CB5E" w:rsidR="0063135D" w:rsidRDefault="45850E64" w:rsidP="00ED1706">
      <w:pPr>
        <w:pStyle w:val="ListParagraph"/>
        <w:numPr>
          <w:ilvl w:val="0"/>
          <w:numId w:val="9"/>
        </w:numPr>
        <w:ind w:left="630"/>
      </w:pPr>
      <w:r>
        <w:t xml:space="preserve">Training for effective participation </w:t>
      </w:r>
      <w:r w:rsidR="00D45E78">
        <w:t>in</w:t>
      </w:r>
      <w:r>
        <w:t xml:space="preserve"> interview </w:t>
      </w:r>
      <w:r w:rsidR="00D45E78">
        <w:t>formats prioritizing DEI engagement</w:t>
      </w:r>
      <w:r>
        <w:t xml:space="preserve"> should </w:t>
      </w:r>
      <w:r w:rsidR="00E42E62">
        <w:t xml:space="preserve">be required for all individuals serving on </w:t>
      </w:r>
      <w:r w:rsidR="000F4340">
        <w:t>screening committees</w:t>
      </w:r>
      <w:r w:rsidR="1C0D9F51">
        <w:t>.</w:t>
      </w:r>
    </w:p>
    <w:p w14:paraId="3EE69AC2" w14:textId="0BDF26DA" w:rsidR="00782E9D" w:rsidRDefault="00782E9D" w:rsidP="00ED1706">
      <w:pPr>
        <w:pStyle w:val="ListParagraph"/>
        <w:numPr>
          <w:ilvl w:val="0"/>
          <w:numId w:val="9"/>
        </w:numPr>
        <w:ind w:left="630"/>
      </w:pPr>
      <w:r>
        <w:t>Training should provide tools for assessing interview responses for DEI engagement with emphasis on recognizing deficit-minded language in interview responses</w:t>
      </w:r>
      <w:r w:rsidR="00765027">
        <w:t xml:space="preserve">, evidence of </w:t>
      </w:r>
      <w:r w:rsidR="00A965B6">
        <w:t xml:space="preserve">positive outcomes, and applicability within the </w:t>
      </w:r>
      <w:r w:rsidR="00335360">
        <w:t>job requirements and working environment.</w:t>
      </w:r>
    </w:p>
    <w:p w14:paraId="7BBA7016" w14:textId="4450F046" w:rsidR="00C723CC" w:rsidRDefault="2D590E7C" w:rsidP="5060A34B">
      <w:pPr>
        <w:pStyle w:val="ListParagraph"/>
        <w:numPr>
          <w:ilvl w:val="0"/>
          <w:numId w:val="9"/>
        </w:numPr>
        <w:ind w:left="630"/>
        <w:rPr>
          <w:rFonts w:eastAsiaTheme="minorEastAsia"/>
        </w:rPr>
      </w:pPr>
      <w:r>
        <w:t xml:space="preserve">Training should provide tools for engaging </w:t>
      </w:r>
      <w:r w:rsidR="000F4340">
        <w:t xml:space="preserve">in conversations about </w:t>
      </w:r>
      <w:r w:rsidR="00941FE2">
        <w:t xml:space="preserve">DEI engagement and including </w:t>
      </w:r>
      <w:r>
        <w:t>diverse perspectives in a collaborative, productive way</w:t>
      </w:r>
      <w:r w:rsidR="00DDC6A9">
        <w:t>.</w:t>
      </w:r>
    </w:p>
    <w:p w14:paraId="169D1D74" w14:textId="6640528D" w:rsidR="0AD60565" w:rsidRPr="0046471B" w:rsidRDefault="50FDED9C" w:rsidP="0046471B">
      <w:pPr>
        <w:pStyle w:val="ListParagraph"/>
        <w:numPr>
          <w:ilvl w:val="0"/>
          <w:numId w:val="9"/>
        </w:numPr>
        <w:ind w:left="630"/>
      </w:pPr>
      <w:r>
        <w:t xml:space="preserve">Training </w:t>
      </w:r>
      <w:r w:rsidR="00B43489">
        <w:t xml:space="preserve">should provide tools for developing DEI-focused interview questions, </w:t>
      </w:r>
      <w:r w:rsidR="005C36F7">
        <w:t xml:space="preserve">defining desired DEI-related qualifications, </w:t>
      </w:r>
      <w:r w:rsidR="0046471B">
        <w:t xml:space="preserve">and </w:t>
      </w:r>
      <w:r w:rsidR="005C36F7">
        <w:t>using scor</w:t>
      </w:r>
      <w:r w:rsidR="0046471B">
        <w:t>ing rubrics correctly</w:t>
      </w:r>
      <w:r w:rsidR="06C7CEF7">
        <w:t>.</w:t>
      </w:r>
    </w:p>
    <w:p w14:paraId="3222E7CF" w14:textId="1EFE39DD" w:rsidR="349D628F" w:rsidRDefault="00335360" w:rsidP="00335360">
      <w:pPr>
        <w:pStyle w:val="Heading2"/>
      </w:pPr>
      <w:r>
        <w:t>Develop a DEI-Focused Scoring Rubric</w:t>
      </w:r>
      <w:r w:rsidR="349D628F">
        <w:t xml:space="preserve"> </w:t>
      </w:r>
    </w:p>
    <w:p w14:paraId="6A849D4D" w14:textId="1A2C0F78" w:rsidR="158AFD0D" w:rsidRDefault="00335360" w:rsidP="0A887C2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Develop</w:t>
      </w:r>
      <w:r w:rsidR="158AFD0D">
        <w:t xml:space="preserve"> a </w:t>
      </w:r>
      <w:r>
        <w:t xml:space="preserve">standard interview scoring </w:t>
      </w:r>
      <w:r w:rsidR="158AFD0D">
        <w:t xml:space="preserve">rubric </w:t>
      </w:r>
      <w:r w:rsidR="00A070BA">
        <w:t>all committee members must use to assess candidates’ responses</w:t>
      </w:r>
      <w:r w:rsidR="7FD92BCB">
        <w:t>.</w:t>
      </w:r>
    </w:p>
    <w:p w14:paraId="471E589C" w14:textId="73C71637" w:rsidR="14FA766D" w:rsidRDefault="00A070BA" w:rsidP="0A887C2D">
      <w:pPr>
        <w:pStyle w:val="ListParagraph"/>
        <w:numPr>
          <w:ilvl w:val="0"/>
          <w:numId w:val="2"/>
        </w:numPr>
      </w:pPr>
      <w:r>
        <w:t xml:space="preserve">Develop a scoring system that </w:t>
      </w:r>
      <w:r w:rsidR="00DA469B">
        <w:t>assigns points for technical knowledge and application of technical knowledge with diverse communities</w:t>
      </w:r>
      <w:r w:rsidR="00EB6003">
        <w:t xml:space="preserve"> (</w:t>
      </w:r>
      <w:r w:rsidR="00EB6003">
        <w:rPr>
          <w:i/>
          <w:iCs/>
        </w:rPr>
        <w:t>see Attachment for examples</w:t>
      </w:r>
      <w:r w:rsidR="00EB6003">
        <w:t>)</w:t>
      </w:r>
      <w:r w:rsidR="05666A1F">
        <w:t>.</w:t>
      </w:r>
    </w:p>
    <w:p w14:paraId="6AF0F969" w14:textId="44CE66D4" w:rsidR="17C02FB6" w:rsidRDefault="00672CD1" w:rsidP="0A887C2D">
      <w:pPr>
        <w:pStyle w:val="ListParagraph"/>
        <w:numPr>
          <w:ilvl w:val="0"/>
          <w:numId w:val="1"/>
        </w:numPr>
      </w:pPr>
      <w:r>
        <w:t>Provide clear directions for defining a</w:t>
      </w:r>
      <w:r w:rsidR="17C02FB6">
        <w:t xml:space="preserve">ssessment </w:t>
      </w:r>
      <w:r>
        <w:t>criteria and awarding points</w:t>
      </w:r>
      <w:r w:rsidR="007661EB">
        <w:t>.</w:t>
      </w:r>
    </w:p>
    <w:p w14:paraId="01B7D1CE" w14:textId="6FF8FD84" w:rsidR="1AAB4A64" w:rsidRDefault="007661EB" w:rsidP="0A887C2D">
      <w:pPr>
        <w:pStyle w:val="ListParagraph"/>
        <w:numPr>
          <w:ilvl w:val="0"/>
          <w:numId w:val="1"/>
        </w:numPr>
      </w:pPr>
      <w:r>
        <w:t>Require assessment criteria to have a direct</w:t>
      </w:r>
      <w:r w:rsidR="1AAB4A64">
        <w:t xml:space="preserve"> correlat</w:t>
      </w:r>
      <w:r>
        <w:t>ion with the essential job duties</w:t>
      </w:r>
      <w:r w:rsidR="076C45E5">
        <w:t>.</w:t>
      </w:r>
    </w:p>
    <w:p w14:paraId="3E22A145" w14:textId="146D0BC6" w:rsidR="00BD0AFA" w:rsidRDefault="00BD0AFA" w:rsidP="0A887C2D">
      <w:pPr>
        <w:pStyle w:val="ListParagraph"/>
        <w:numPr>
          <w:ilvl w:val="0"/>
          <w:numId w:val="1"/>
        </w:numPr>
      </w:pPr>
      <w:r>
        <w:t>Scoring Framework:</w:t>
      </w:r>
    </w:p>
    <w:p w14:paraId="36696E84" w14:textId="61294984" w:rsidR="00BD0AFA" w:rsidRDefault="0088450D" w:rsidP="00BD0AFA">
      <w:pPr>
        <w:pStyle w:val="ListParagraph"/>
        <w:numPr>
          <w:ilvl w:val="1"/>
          <w:numId w:val="1"/>
        </w:numPr>
      </w:pPr>
      <w:r>
        <w:t>Candidates earn 1-3 points based on their technical knowledge, skills, and abilities related to the position</w:t>
      </w:r>
    </w:p>
    <w:p w14:paraId="07F63748" w14:textId="696DC7AC" w:rsidR="0088450D" w:rsidRDefault="0088450D" w:rsidP="00BD0AFA">
      <w:pPr>
        <w:pStyle w:val="ListParagraph"/>
        <w:numPr>
          <w:ilvl w:val="1"/>
          <w:numId w:val="1"/>
        </w:numPr>
      </w:pPr>
      <w:r>
        <w:t xml:space="preserve">Candidates earn </w:t>
      </w:r>
      <w:r w:rsidR="001A30B8">
        <w:t>a 4</w:t>
      </w:r>
      <w:r w:rsidR="001A30B8" w:rsidRPr="001A30B8">
        <w:rPr>
          <w:vertAlign w:val="superscript"/>
        </w:rPr>
        <w:t>th</w:t>
      </w:r>
      <w:r w:rsidR="001A30B8">
        <w:t xml:space="preserve"> point for articulating successful application of technical abilities within a diverse working environment </w:t>
      </w:r>
      <w:r w:rsidR="000A6A07">
        <w:t>(</w:t>
      </w:r>
      <w:proofErr w:type="gramStart"/>
      <w:r w:rsidR="000A6A07">
        <w:t>e.g.</w:t>
      </w:r>
      <w:proofErr w:type="gramEnd"/>
      <w:r w:rsidR="000A6A07">
        <w:t xml:space="preserve"> using skills in an inclusive way contributing to equity of outcomes)</w:t>
      </w:r>
    </w:p>
    <w:p w14:paraId="3391FB5C" w14:textId="0C54FFC4" w:rsidR="000A6A07" w:rsidRDefault="000A6A07" w:rsidP="00BD0AFA">
      <w:pPr>
        <w:pStyle w:val="ListParagraph"/>
        <w:numPr>
          <w:ilvl w:val="1"/>
          <w:numId w:val="1"/>
        </w:numPr>
      </w:pPr>
      <w:r>
        <w:t>Candidates earn a 5</w:t>
      </w:r>
      <w:r w:rsidRPr="000A6A07">
        <w:rPr>
          <w:vertAlign w:val="superscript"/>
        </w:rPr>
        <w:t>th</w:t>
      </w:r>
      <w:r>
        <w:t xml:space="preserve"> point for articulating successful contributions to </w:t>
      </w:r>
      <w:r w:rsidR="00E316EF">
        <w:t>organizational DEI culture beyond their individual job performance</w:t>
      </w:r>
    </w:p>
    <w:p w14:paraId="33E4B4B5" w14:textId="02D4B979" w:rsidR="00E53AEE" w:rsidRDefault="00E53AEE" w:rsidP="00BD0AFA">
      <w:pPr>
        <w:pStyle w:val="ListParagraph"/>
        <w:numPr>
          <w:ilvl w:val="1"/>
          <w:numId w:val="1"/>
        </w:numPr>
      </w:pPr>
      <w:r>
        <w:t>Quarter and half point scores should be used when candidates provide some evidence of desired behaviors and outcomes, but fail to fully articulate the level of desired job performance</w:t>
      </w:r>
    </w:p>
    <w:p w14:paraId="685730D3" w14:textId="652F3B31" w:rsidR="0018573C" w:rsidRDefault="00287F1D" w:rsidP="0018573C">
      <w:pPr>
        <w:pStyle w:val="Heading2"/>
      </w:pPr>
      <w:r>
        <w:t>Monitor for Adverse Impact</w:t>
      </w:r>
    </w:p>
    <w:p w14:paraId="622AC0F0" w14:textId="358CE65A" w:rsidR="003043E8" w:rsidRPr="009C6265" w:rsidRDefault="008C239D" w:rsidP="0A887C2D">
      <w:pPr>
        <w:pStyle w:val="ListParagraph"/>
        <w:numPr>
          <w:ilvl w:val="0"/>
          <w:numId w:val="11"/>
        </w:numPr>
        <w:ind w:left="630"/>
      </w:pPr>
      <w:r>
        <w:t xml:space="preserve">HR or appropriate area should review </w:t>
      </w:r>
      <w:r w:rsidR="00623507">
        <w:t>scoring rubrics prior to use to ensure they do not</w:t>
      </w:r>
      <w:r w:rsidR="2693CB41">
        <w:t xml:space="preserve"> specifically </w:t>
      </w:r>
      <w:proofErr w:type="gramStart"/>
      <w:r w:rsidR="2693CB41">
        <w:t>assess</w:t>
      </w:r>
      <w:proofErr w:type="gramEnd"/>
      <w:r w:rsidR="1C481BBB">
        <w:t xml:space="preserve"> or preference candidate</w:t>
      </w:r>
      <w:r w:rsidR="00623507">
        <w:t>s</w:t>
      </w:r>
      <w:r w:rsidR="49F911DF">
        <w:t xml:space="preserve"> </w:t>
      </w:r>
      <w:r w:rsidR="7855522E">
        <w:t xml:space="preserve">based on </w:t>
      </w:r>
      <w:r w:rsidR="49F911DF">
        <w:t xml:space="preserve">race, ethnicity, sex, or another protected status under </w:t>
      </w:r>
      <w:r w:rsidR="0018573C">
        <w:t>applicable EEO laws and regulations.</w:t>
      </w:r>
    </w:p>
    <w:p w14:paraId="64863549" w14:textId="13AC89B4" w:rsidR="003043E8" w:rsidRPr="009C6265" w:rsidRDefault="0018573C" w:rsidP="5060A34B">
      <w:pPr>
        <w:pStyle w:val="ListParagraph"/>
        <w:numPr>
          <w:ilvl w:val="0"/>
          <w:numId w:val="11"/>
        </w:numPr>
        <w:ind w:left="630"/>
        <w:rPr>
          <w:rFonts w:eastAsiaTheme="minorEastAsia"/>
        </w:rPr>
      </w:pPr>
      <w:r>
        <w:t>HR or appropriate area</w:t>
      </w:r>
      <w:r w:rsidR="49F911DF">
        <w:t xml:space="preserve"> should </w:t>
      </w:r>
      <w:r>
        <w:t>review</w:t>
      </w:r>
      <w:r w:rsidR="49F911DF">
        <w:t xml:space="preserve"> </w:t>
      </w:r>
      <w:r>
        <w:t xml:space="preserve">scoring </w:t>
      </w:r>
      <w:r w:rsidR="58AB04E5">
        <w:t xml:space="preserve">ratings and selection decisions </w:t>
      </w:r>
      <w:r>
        <w:t>periodically for patter</w:t>
      </w:r>
      <w:r w:rsidR="49F911DF">
        <w:t xml:space="preserve">ns </w:t>
      </w:r>
      <w:r w:rsidR="7C654130">
        <w:t>of adverse</w:t>
      </w:r>
      <w:r w:rsidR="49F911DF">
        <w:t xml:space="preserve"> impact</w:t>
      </w:r>
      <w:r>
        <w:t xml:space="preserve"> based on race, ethnicity, and gender</w:t>
      </w:r>
      <w:r w:rsidR="60D43945">
        <w:t>.</w:t>
      </w:r>
    </w:p>
    <w:p w14:paraId="0FFDD53D" w14:textId="63CA9BA2" w:rsidR="19FE9DBC" w:rsidRDefault="00287F1D" w:rsidP="19FE9DBC">
      <w:pPr>
        <w:pStyle w:val="ListParagraph"/>
        <w:numPr>
          <w:ilvl w:val="0"/>
          <w:numId w:val="11"/>
        </w:numPr>
        <w:ind w:left="630"/>
      </w:pPr>
      <w:r>
        <w:t>HR or appropriate area</w:t>
      </w:r>
      <w:r w:rsidR="60D43945">
        <w:t xml:space="preserve"> should evaluate individual ratings in selection decisions </w:t>
      </w:r>
      <w:r w:rsidR="005A5DB9">
        <w:t>where credible EEO concerns are identified</w:t>
      </w:r>
      <w:r w:rsidR="60D43945">
        <w:t>.</w:t>
      </w:r>
    </w:p>
    <w:p w14:paraId="03FE9D9C" w14:textId="77777777" w:rsidR="00DF056C" w:rsidRPr="00ED1706" w:rsidRDefault="00DF056C" w:rsidP="00DF056C">
      <w:pPr>
        <w:pStyle w:val="Heading1"/>
      </w:pPr>
      <w:r w:rsidRPr="00ED1706">
        <w:lastRenderedPageBreak/>
        <w:t>EEO and Compliance Considerations and Recommendations</w:t>
      </w:r>
    </w:p>
    <w:p w14:paraId="76D8B467" w14:textId="3B61E523" w:rsidR="00DD1302" w:rsidRDefault="000004E1" w:rsidP="00DD1302">
      <w:pPr>
        <w:pStyle w:val="ListParagraph"/>
        <w:numPr>
          <w:ilvl w:val="0"/>
          <w:numId w:val="11"/>
        </w:numPr>
        <w:ind w:left="634"/>
      </w:pPr>
      <w:r>
        <w:t>Scoring interviews based on</w:t>
      </w:r>
      <w:r w:rsidR="00DD1302">
        <w:t xml:space="preserve"> a candidate’s race, ethnicity, sex, or another protected status under Title VII, FEHA, Education Code, Title V, and other applicable laws and regulations </w:t>
      </w:r>
      <w:r>
        <w:t>is</w:t>
      </w:r>
      <w:r w:rsidR="00DD1302">
        <w:t xml:space="preserve"> discriminatory under current EEO law</w:t>
      </w:r>
      <w:r w:rsidR="007A5A43">
        <w:t>.</w:t>
      </w:r>
    </w:p>
    <w:p w14:paraId="46020C40" w14:textId="06BD0AA9" w:rsidR="00DD1302" w:rsidRDefault="00DD1302" w:rsidP="00DD1302">
      <w:pPr>
        <w:pStyle w:val="ListParagraph"/>
        <w:numPr>
          <w:ilvl w:val="0"/>
          <w:numId w:val="11"/>
        </w:numPr>
        <w:ind w:left="630"/>
      </w:pPr>
      <w:r>
        <w:t xml:space="preserve">DEI-focused </w:t>
      </w:r>
      <w:r w:rsidR="007A5A43">
        <w:t xml:space="preserve">scoring rubrics </w:t>
      </w:r>
      <w:r>
        <w:t xml:space="preserve">should not be misunderstood or used as an attempt to reduce the likelihood of any individual being hired based on their race, ethnicity, gender, or other </w:t>
      </w:r>
      <w:proofErr w:type="gramStart"/>
      <w:r>
        <w:t>legally-protected</w:t>
      </w:r>
      <w:proofErr w:type="gramEnd"/>
      <w:r>
        <w:t xml:space="preserve"> status</w:t>
      </w:r>
      <w:r w:rsidR="007A5A43">
        <w:t>.</w:t>
      </w:r>
    </w:p>
    <w:p w14:paraId="579CCB71" w14:textId="7BC3E4C5" w:rsidR="00DD1302" w:rsidRDefault="00DD1302" w:rsidP="00DD1302">
      <w:pPr>
        <w:pStyle w:val="ListParagraph"/>
        <w:numPr>
          <w:ilvl w:val="0"/>
          <w:numId w:val="11"/>
        </w:numPr>
        <w:ind w:left="630"/>
      </w:pPr>
      <w:r>
        <w:t xml:space="preserve">The goal </w:t>
      </w:r>
      <w:r w:rsidR="001B0E6E">
        <w:t>DEI-focused scoring rubrics</w:t>
      </w:r>
      <w:r>
        <w:t xml:space="preserve"> is to elevate the ability to work with and serve diverse communities to a primary qualification for all positions; committees should not think </w:t>
      </w:r>
      <w:r w:rsidR="001B0E6E">
        <w:t xml:space="preserve">or act as if </w:t>
      </w:r>
      <w:r>
        <w:t xml:space="preserve">the purpose is to </w:t>
      </w:r>
      <w:r w:rsidR="001B0E6E">
        <w:t>preference</w:t>
      </w:r>
      <w:r>
        <w:t xml:space="preserve"> candidates from specific protected statuses</w:t>
      </w:r>
      <w:r w:rsidR="001B0E6E">
        <w:t>.</w:t>
      </w:r>
      <w:r>
        <w:t xml:space="preserve"> </w:t>
      </w:r>
    </w:p>
    <w:p w14:paraId="35357FE0" w14:textId="2EA06409" w:rsidR="00DD1302" w:rsidRDefault="00DD1302" w:rsidP="00DD1302">
      <w:pPr>
        <w:pStyle w:val="ListParagraph"/>
        <w:numPr>
          <w:ilvl w:val="0"/>
          <w:numId w:val="11"/>
        </w:numPr>
        <w:ind w:left="630"/>
      </w:pPr>
      <w:r>
        <w:t xml:space="preserve">HR or the appropriate staff should review </w:t>
      </w:r>
      <w:r w:rsidR="001B0E6E">
        <w:t>scoring rubrics</w:t>
      </w:r>
      <w:r>
        <w:t xml:space="preserve"> for legal compliance and EEO concerns before they are used by a committee</w:t>
      </w:r>
    </w:p>
    <w:p w14:paraId="127F2667" w14:textId="77777777" w:rsidR="00DF056C" w:rsidRDefault="00DF056C" w:rsidP="00DF056C">
      <w:pPr>
        <w:pStyle w:val="Heading1"/>
      </w:pPr>
      <w:r>
        <w:t>References, Tools, and Resources</w:t>
      </w:r>
    </w:p>
    <w:p w14:paraId="6EC1862B" w14:textId="786604DB" w:rsidR="00DF056C" w:rsidRDefault="00B8359F" w:rsidP="00B8359F">
      <w:pPr>
        <w:pStyle w:val="ListParagraph"/>
        <w:numPr>
          <w:ilvl w:val="0"/>
          <w:numId w:val="11"/>
        </w:numPr>
        <w:ind w:left="630"/>
      </w:pPr>
      <w:r>
        <w:t>Equity-Minded Interview Scoring Rubric Template</w:t>
      </w:r>
    </w:p>
    <w:sectPr w:rsidR="00DF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401"/>
    <w:multiLevelType w:val="hybridMultilevel"/>
    <w:tmpl w:val="01F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F99"/>
    <w:multiLevelType w:val="hybridMultilevel"/>
    <w:tmpl w:val="C2C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60D4"/>
    <w:multiLevelType w:val="hybridMultilevel"/>
    <w:tmpl w:val="FC9C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F381A"/>
    <w:multiLevelType w:val="hybridMultilevel"/>
    <w:tmpl w:val="DEA862F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0ED4"/>
    <w:multiLevelType w:val="hybridMultilevel"/>
    <w:tmpl w:val="F7D2F460"/>
    <w:lvl w:ilvl="0" w:tplc="C4EE8F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DA7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8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6E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04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2E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C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A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5849"/>
    <w:multiLevelType w:val="hybridMultilevel"/>
    <w:tmpl w:val="7384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A371D"/>
    <w:multiLevelType w:val="hybridMultilevel"/>
    <w:tmpl w:val="23E8E6A4"/>
    <w:lvl w:ilvl="0" w:tplc="D494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87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CB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E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2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E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6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CA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6C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2501"/>
    <w:multiLevelType w:val="hybridMultilevel"/>
    <w:tmpl w:val="B8447628"/>
    <w:lvl w:ilvl="0" w:tplc="380C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A6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6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9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8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03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C9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AC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736A"/>
    <w:multiLevelType w:val="hybridMultilevel"/>
    <w:tmpl w:val="E0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6052"/>
    <w:multiLevelType w:val="hybridMultilevel"/>
    <w:tmpl w:val="D98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5744"/>
    <w:multiLevelType w:val="hybridMultilevel"/>
    <w:tmpl w:val="7A70B386"/>
    <w:lvl w:ilvl="0" w:tplc="A580C6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7"/>
    <w:rsid w:val="000004E1"/>
    <w:rsid w:val="00026FF0"/>
    <w:rsid w:val="000A6A07"/>
    <w:rsid w:val="000F4340"/>
    <w:rsid w:val="0018573C"/>
    <w:rsid w:val="001A30B8"/>
    <w:rsid w:val="001A7EE7"/>
    <w:rsid w:val="001B0E6E"/>
    <w:rsid w:val="001D0981"/>
    <w:rsid w:val="001E6E57"/>
    <w:rsid w:val="00234FFA"/>
    <w:rsid w:val="00287F1D"/>
    <w:rsid w:val="002C6FDD"/>
    <w:rsid w:val="002D10A2"/>
    <w:rsid w:val="003043E8"/>
    <w:rsid w:val="00335360"/>
    <w:rsid w:val="003A0D5F"/>
    <w:rsid w:val="00432D7E"/>
    <w:rsid w:val="0046471B"/>
    <w:rsid w:val="004C7BDD"/>
    <w:rsid w:val="004D2C4F"/>
    <w:rsid w:val="004F2B89"/>
    <w:rsid w:val="00514B4A"/>
    <w:rsid w:val="00530E9F"/>
    <w:rsid w:val="00546F48"/>
    <w:rsid w:val="005A20AC"/>
    <w:rsid w:val="005A5DB9"/>
    <w:rsid w:val="005C36F7"/>
    <w:rsid w:val="005D05AD"/>
    <w:rsid w:val="00605CBF"/>
    <w:rsid w:val="00623507"/>
    <w:rsid w:val="0063135D"/>
    <w:rsid w:val="00644D88"/>
    <w:rsid w:val="00672CD1"/>
    <w:rsid w:val="006C0D06"/>
    <w:rsid w:val="0074380E"/>
    <w:rsid w:val="007570FA"/>
    <w:rsid w:val="00761E3F"/>
    <w:rsid w:val="00765027"/>
    <w:rsid w:val="007661EB"/>
    <w:rsid w:val="00771669"/>
    <w:rsid w:val="00777E52"/>
    <w:rsid w:val="00782E9D"/>
    <w:rsid w:val="007A5A43"/>
    <w:rsid w:val="007C791F"/>
    <w:rsid w:val="00881801"/>
    <w:rsid w:val="0088450D"/>
    <w:rsid w:val="00887143"/>
    <w:rsid w:val="008C239D"/>
    <w:rsid w:val="008D174C"/>
    <w:rsid w:val="00902AA5"/>
    <w:rsid w:val="00930FEC"/>
    <w:rsid w:val="00941FE2"/>
    <w:rsid w:val="009C6265"/>
    <w:rsid w:val="00A070BA"/>
    <w:rsid w:val="00A965B6"/>
    <w:rsid w:val="00AC5751"/>
    <w:rsid w:val="00B12A20"/>
    <w:rsid w:val="00B16B5A"/>
    <w:rsid w:val="00B43489"/>
    <w:rsid w:val="00B8359F"/>
    <w:rsid w:val="00BD0AFA"/>
    <w:rsid w:val="00BE0FF1"/>
    <w:rsid w:val="00BE607A"/>
    <w:rsid w:val="00C723CC"/>
    <w:rsid w:val="00CC45F3"/>
    <w:rsid w:val="00D1023A"/>
    <w:rsid w:val="00D45E78"/>
    <w:rsid w:val="00D95B09"/>
    <w:rsid w:val="00DA0171"/>
    <w:rsid w:val="00DA469B"/>
    <w:rsid w:val="00DD1302"/>
    <w:rsid w:val="00DDC6A9"/>
    <w:rsid w:val="00DF056C"/>
    <w:rsid w:val="00E155D9"/>
    <w:rsid w:val="00E316EF"/>
    <w:rsid w:val="00E42E62"/>
    <w:rsid w:val="00E53AEE"/>
    <w:rsid w:val="00E71EEE"/>
    <w:rsid w:val="00E75A57"/>
    <w:rsid w:val="00EB6003"/>
    <w:rsid w:val="00ED1706"/>
    <w:rsid w:val="00FA3FBF"/>
    <w:rsid w:val="00FD7C58"/>
    <w:rsid w:val="016F3B5C"/>
    <w:rsid w:val="017365F1"/>
    <w:rsid w:val="017D9C63"/>
    <w:rsid w:val="01961A58"/>
    <w:rsid w:val="025985CA"/>
    <w:rsid w:val="03603D89"/>
    <w:rsid w:val="03C7E23A"/>
    <w:rsid w:val="047193C3"/>
    <w:rsid w:val="0528DE2D"/>
    <w:rsid w:val="05666A1F"/>
    <w:rsid w:val="057F00CA"/>
    <w:rsid w:val="05B37C59"/>
    <w:rsid w:val="05C181FC"/>
    <w:rsid w:val="06434C8F"/>
    <w:rsid w:val="064F9B05"/>
    <w:rsid w:val="06C7CEF7"/>
    <w:rsid w:val="0701D88D"/>
    <w:rsid w:val="071453FF"/>
    <w:rsid w:val="073DF810"/>
    <w:rsid w:val="0743D5FA"/>
    <w:rsid w:val="076C45E5"/>
    <w:rsid w:val="07E79982"/>
    <w:rsid w:val="0939786D"/>
    <w:rsid w:val="09638B5C"/>
    <w:rsid w:val="0977517C"/>
    <w:rsid w:val="099156A5"/>
    <w:rsid w:val="09E5F493"/>
    <w:rsid w:val="09FE1C99"/>
    <w:rsid w:val="0A5616F3"/>
    <w:rsid w:val="0A887C2D"/>
    <w:rsid w:val="0AD60565"/>
    <w:rsid w:val="0B13060D"/>
    <w:rsid w:val="0B174EFC"/>
    <w:rsid w:val="0BE6CD07"/>
    <w:rsid w:val="0C0CEE07"/>
    <w:rsid w:val="0C3E06D1"/>
    <w:rsid w:val="0C524B15"/>
    <w:rsid w:val="0CE416B0"/>
    <w:rsid w:val="0D35BD5B"/>
    <w:rsid w:val="0D785D62"/>
    <w:rsid w:val="0DE1FD27"/>
    <w:rsid w:val="0E1ABEE9"/>
    <w:rsid w:val="0E47F129"/>
    <w:rsid w:val="0E5239A7"/>
    <w:rsid w:val="0EB25131"/>
    <w:rsid w:val="0EB8655F"/>
    <w:rsid w:val="0F4FC909"/>
    <w:rsid w:val="0F7331E4"/>
    <w:rsid w:val="0F9BA4C0"/>
    <w:rsid w:val="10C5D891"/>
    <w:rsid w:val="1126CE17"/>
    <w:rsid w:val="1129C72A"/>
    <w:rsid w:val="11350709"/>
    <w:rsid w:val="127AE8AD"/>
    <w:rsid w:val="12E51F88"/>
    <w:rsid w:val="135E4103"/>
    <w:rsid w:val="139D8CE8"/>
    <w:rsid w:val="14FA766D"/>
    <w:rsid w:val="152DC690"/>
    <w:rsid w:val="1576EB06"/>
    <w:rsid w:val="158AFD0D"/>
    <w:rsid w:val="15B8F631"/>
    <w:rsid w:val="15DD73E5"/>
    <w:rsid w:val="161DD605"/>
    <w:rsid w:val="161FF0A5"/>
    <w:rsid w:val="16241EB2"/>
    <w:rsid w:val="166B02D4"/>
    <w:rsid w:val="168FE68C"/>
    <w:rsid w:val="16DCDED2"/>
    <w:rsid w:val="16E7BB66"/>
    <w:rsid w:val="176DA6F8"/>
    <w:rsid w:val="17845A5D"/>
    <w:rsid w:val="17C02FB6"/>
    <w:rsid w:val="17D750CD"/>
    <w:rsid w:val="18E170AC"/>
    <w:rsid w:val="18F44C63"/>
    <w:rsid w:val="19895D67"/>
    <w:rsid w:val="19FE9DBC"/>
    <w:rsid w:val="1A5387FA"/>
    <w:rsid w:val="1A8CDEC3"/>
    <w:rsid w:val="1A9B3D62"/>
    <w:rsid w:val="1AAB4A64"/>
    <w:rsid w:val="1ABD6778"/>
    <w:rsid w:val="1AECC1DF"/>
    <w:rsid w:val="1B2D3F28"/>
    <w:rsid w:val="1B438637"/>
    <w:rsid w:val="1B53EF2A"/>
    <w:rsid w:val="1B7F869E"/>
    <w:rsid w:val="1B96310E"/>
    <w:rsid w:val="1C0D9F51"/>
    <w:rsid w:val="1C481BBB"/>
    <w:rsid w:val="1CDF5698"/>
    <w:rsid w:val="1CF900F2"/>
    <w:rsid w:val="1D2F7846"/>
    <w:rsid w:val="1DD48E4C"/>
    <w:rsid w:val="1E857DED"/>
    <w:rsid w:val="1E965E11"/>
    <w:rsid w:val="1ED676AF"/>
    <w:rsid w:val="1EFB999B"/>
    <w:rsid w:val="1F5A09A8"/>
    <w:rsid w:val="1FC24C1C"/>
    <w:rsid w:val="203EA21E"/>
    <w:rsid w:val="212731C6"/>
    <w:rsid w:val="2148A11C"/>
    <w:rsid w:val="220E1771"/>
    <w:rsid w:val="2327DF0E"/>
    <w:rsid w:val="23388C28"/>
    <w:rsid w:val="234DF5A0"/>
    <w:rsid w:val="23FCF26A"/>
    <w:rsid w:val="240F3B55"/>
    <w:rsid w:val="250E39C7"/>
    <w:rsid w:val="2637F3A3"/>
    <w:rsid w:val="268DFA42"/>
    <w:rsid w:val="2693CB41"/>
    <w:rsid w:val="26C2078D"/>
    <w:rsid w:val="271B8E90"/>
    <w:rsid w:val="2832FE17"/>
    <w:rsid w:val="288494EF"/>
    <w:rsid w:val="293CF2A9"/>
    <w:rsid w:val="29BA28E7"/>
    <w:rsid w:val="2AC8DBAF"/>
    <w:rsid w:val="2AD0B98F"/>
    <w:rsid w:val="2B3CAF0A"/>
    <w:rsid w:val="2B9BD15A"/>
    <w:rsid w:val="2BC0F446"/>
    <w:rsid w:val="2C9880FC"/>
    <w:rsid w:val="2D590E7C"/>
    <w:rsid w:val="2D70A0C2"/>
    <w:rsid w:val="2D7E6E23"/>
    <w:rsid w:val="2DA4961F"/>
    <w:rsid w:val="2E3A34C8"/>
    <w:rsid w:val="2E5B65A0"/>
    <w:rsid w:val="2E66188F"/>
    <w:rsid w:val="2EBD305B"/>
    <w:rsid w:val="2ECA2E4A"/>
    <w:rsid w:val="2F283AD4"/>
    <w:rsid w:val="2F44DA05"/>
    <w:rsid w:val="2FD8DA3F"/>
    <w:rsid w:val="304F01BD"/>
    <w:rsid w:val="31A2EF57"/>
    <w:rsid w:val="32816C7E"/>
    <w:rsid w:val="32C17507"/>
    <w:rsid w:val="3303DB70"/>
    <w:rsid w:val="3353D8A7"/>
    <w:rsid w:val="34649DDF"/>
    <w:rsid w:val="348D51AF"/>
    <w:rsid w:val="349D628F"/>
    <w:rsid w:val="359F36DE"/>
    <w:rsid w:val="362C8371"/>
    <w:rsid w:val="369634E7"/>
    <w:rsid w:val="36FA2339"/>
    <w:rsid w:val="37809446"/>
    <w:rsid w:val="37B3EC9F"/>
    <w:rsid w:val="37EE2AA9"/>
    <w:rsid w:val="37F42E0C"/>
    <w:rsid w:val="3835D50A"/>
    <w:rsid w:val="387D0F78"/>
    <w:rsid w:val="390997A4"/>
    <w:rsid w:val="3912C79F"/>
    <w:rsid w:val="398EFE13"/>
    <w:rsid w:val="39B268CD"/>
    <w:rsid w:val="39E69875"/>
    <w:rsid w:val="3A1C4470"/>
    <w:rsid w:val="3A3AAF58"/>
    <w:rsid w:val="3B316787"/>
    <w:rsid w:val="3BB9DA3C"/>
    <w:rsid w:val="3BDB6E2E"/>
    <w:rsid w:val="3BE29C03"/>
    <w:rsid w:val="3C24E153"/>
    <w:rsid w:val="3CA39EFD"/>
    <w:rsid w:val="3D8504B2"/>
    <w:rsid w:val="3DD75335"/>
    <w:rsid w:val="3DD7E6EB"/>
    <w:rsid w:val="3EE6C539"/>
    <w:rsid w:val="3EEC50FC"/>
    <w:rsid w:val="3F821FDC"/>
    <w:rsid w:val="408F7670"/>
    <w:rsid w:val="409B668C"/>
    <w:rsid w:val="40B5429C"/>
    <w:rsid w:val="41244C0A"/>
    <w:rsid w:val="41670815"/>
    <w:rsid w:val="41A2A244"/>
    <w:rsid w:val="42627C20"/>
    <w:rsid w:val="429FF589"/>
    <w:rsid w:val="4334BFB2"/>
    <w:rsid w:val="43582E14"/>
    <w:rsid w:val="43A9FE59"/>
    <w:rsid w:val="43CD57B6"/>
    <w:rsid w:val="44B0C9FC"/>
    <w:rsid w:val="4552082F"/>
    <w:rsid w:val="45850E64"/>
    <w:rsid w:val="458E6509"/>
    <w:rsid w:val="46002D7F"/>
    <w:rsid w:val="461F98B1"/>
    <w:rsid w:val="4667F861"/>
    <w:rsid w:val="466E747C"/>
    <w:rsid w:val="46A094C7"/>
    <w:rsid w:val="46BB208C"/>
    <w:rsid w:val="47C89A4D"/>
    <w:rsid w:val="487A0AE5"/>
    <w:rsid w:val="48C79C9E"/>
    <w:rsid w:val="49071ED0"/>
    <w:rsid w:val="4911B5E6"/>
    <w:rsid w:val="4964FE94"/>
    <w:rsid w:val="49F911DF"/>
    <w:rsid w:val="4A527C8D"/>
    <w:rsid w:val="4C14D9A3"/>
    <w:rsid w:val="4C82240B"/>
    <w:rsid w:val="4CE42317"/>
    <w:rsid w:val="4F4B3A5A"/>
    <w:rsid w:val="4F4B6F35"/>
    <w:rsid w:val="5060A34B"/>
    <w:rsid w:val="5072C783"/>
    <w:rsid w:val="50FDED9C"/>
    <w:rsid w:val="5180344F"/>
    <w:rsid w:val="5203BBE2"/>
    <w:rsid w:val="52427219"/>
    <w:rsid w:val="53292527"/>
    <w:rsid w:val="534EF1F4"/>
    <w:rsid w:val="54184D79"/>
    <w:rsid w:val="541E7741"/>
    <w:rsid w:val="553C937E"/>
    <w:rsid w:val="554638A6"/>
    <w:rsid w:val="5560F7C8"/>
    <w:rsid w:val="5589EFB5"/>
    <w:rsid w:val="55BC0615"/>
    <w:rsid w:val="55DF2825"/>
    <w:rsid w:val="55EBA282"/>
    <w:rsid w:val="56AF35E0"/>
    <w:rsid w:val="56E20907"/>
    <w:rsid w:val="5740B5E3"/>
    <w:rsid w:val="577978F7"/>
    <w:rsid w:val="58160D0A"/>
    <w:rsid w:val="58189318"/>
    <w:rsid w:val="5857205A"/>
    <w:rsid w:val="587F6FFC"/>
    <w:rsid w:val="589C9B78"/>
    <w:rsid w:val="58AB04E5"/>
    <w:rsid w:val="591C19D1"/>
    <w:rsid w:val="59A29AD2"/>
    <w:rsid w:val="5A307A27"/>
    <w:rsid w:val="5A51D295"/>
    <w:rsid w:val="5AE23C56"/>
    <w:rsid w:val="5BE78E9C"/>
    <w:rsid w:val="5C46121E"/>
    <w:rsid w:val="5C770E28"/>
    <w:rsid w:val="5C90B219"/>
    <w:rsid w:val="5CD80783"/>
    <w:rsid w:val="5D4995B7"/>
    <w:rsid w:val="5D681AE9"/>
    <w:rsid w:val="5DE5763A"/>
    <w:rsid w:val="5E5C9535"/>
    <w:rsid w:val="5E966D72"/>
    <w:rsid w:val="5F06575E"/>
    <w:rsid w:val="5F69DCC0"/>
    <w:rsid w:val="5F7225A9"/>
    <w:rsid w:val="5FC30153"/>
    <w:rsid w:val="5FE33FC5"/>
    <w:rsid w:val="60D43945"/>
    <w:rsid w:val="60D950BB"/>
    <w:rsid w:val="60E43B03"/>
    <w:rsid w:val="6134A133"/>
    <w:rsid w:val="61793FC1"/>
    <w:rsid w:val="61872386"/>
    <w:rsid w:val="61C31E26"/>
    <w:rsid w:val="61EC3051"/>
    <w:rsid w:val="625BC7DD"/>
    <w:rsid w:val="62800B64"/>
    <w:rsid w:val="62E5D292"/>
    <w:rsid w:val="62F08404"/>
    <w:rsid w:val="6311578E"/>
    <w:rsid w:val="635BDBE8"/>
    <w:rsid w:val="63CF5083"/>
    <w:rsid w:val="650D7522"/>
    <w:rsid w:val="65308F3F"/>
    <w:rsid w:val="6532DF73"/>
    <w:rsid w:val="6556DB5D"/>
    <w:rsid w:val="66472F1F"/>
    <w:rsid w:val="66C81B8C"/>
    <w:rsid w:val="670D632A"/>
    <w:rsid w:val="673D0F40"/>
    <w:rsid w:val="67C0A32F"/>
    <w:rsid w:val="6820D236"/>
    <w:rsid w:val="689BEAB8"/>
    <w:rsid w:val="68BE0F21"/>
    <w:rsid w:val="68D8DFA1"/>
    <w:rsid w:val="68DD0EA8"/>
    <w:rsid w:val="68F5EAA2"/>
    <w:rsid w:val="68FB52E3"/>
    <w:rsid w:val="6975DD2C"/>
    <w:rsid w:val="699F0721"/>
    <w:rsid w:val="69BE05A4"/>
    <w:rsid w:val="6A1D0F6E"/>
    <w:rsid w:val="6A35E99E"/>
    <w:rsid w:val="6A5B6F35"/>
    <w:rsid w:val="6A68FF9A"/>
    <w:rsid w:val="6AB91A11"/>
    <w:rsid w:val="6AEB0529"/>
    <w:rsid w:val="6B121A48"/>
    <w:rsid w:val="6B2732DA"/>
    <w:rsid w:val="6B32D805"/>
    <w:rsid w:val="6C341871"/>
    <w:rsid w:val="6C73860F"/>
    <w:rsid w:val="6D1BB7AC"/>
    <w:rsid w:val="6D3419E1"/>
    <w:rsid w:val="6D4A158A"/>
    <w:rsid w:val="6D6BA949"/>
    <w:rsid w:val="6E06E570"/>
    <w:rsid w:val="6E73A75E"/>
    <w:rsid w:val="6F526850"/>
    <w:rsid w:val="7095E499"/>
    <w:rsid w:val="70F0354C"/>
    <w:rsid w:val="710AAF7A"/>
    <w:rsid w:val="715A4F3B"/>
    <w:rsid w:val="71EE21C0"/>
    <w:rsid w:val="729724DA"/>
    <w:rsid w:val="730C8455"/>
    <w:rsid w:val="734D637E"/>
    <w:rsid w:val="7473CF50"/>
    <w:rsid w:val="750B68C9"/>
    <w:rsid w:val="7536132F"/>
    <w:rsid w:val="759B4E18"/>
    <w:rsid w:val="75A41DF8"/>
    <w:rsid w:val="75AECB84"/>
    <w:rsid w:val="7621A94A"/>
    <w:rsid w:val="76576D92"/>
    <w:rsid w:val="769BB180"/>
    <w:rsid w:val="76B56D13"/>
    <w:rsid w:val="76D1E390"/>
    <w:rsid w:val="7702E70F"/>
    <w:rsid w:val="77C8CEC4"/>
    <w:rsid w:val="77ED6A38"/>
    <w:rsid w:val="784354B9"/>
    <w:rsid w:val="7855522E"/>
    <w:rsid w:val="7923138D"/>
    <w:rsid w:val="796BB281"/>
    <w:rsid w:val="7989F4F3"/>
    <w:rsid w:val="79F77F32"/>
    <w:rsid w:val="79FF0811"/>
    <w:rsid w:val="7A9C00CB"/>
    <w:rsid w:val="7B250AFA"/>
    <w:rsid w:val="7B4223D3"/>
    <w:rsid w:val="7B618CB4"/>
    <w:rsid w:val="7BA10C29"/>
    <w:rsid w:val="7BB253A5"/>
    <w:rsid w:val="7BE17BBF"/>
    <w:rsid w:val="7BE9648C"/>
    <w:rsid w:val="7C3D99E9"/>
    <w:rsid w:val="7C654130"/>
    <w:rsid w:val="7CA2303D"/>
    <w:rsid w:val="7CA35343"/>
    <w:rsid w:val="7D3AF751"/>
    <w:rsid w:val="7D79CB11"/>
    <w:rsid w:val="7DA6DC35"/>
    <w:rsid w:val="7E5EC9B1"/>
    <w:rsid w:val="7ED27D2F"/>
    <w:rsid w:val="7F19962A"/>
    <w:rsid w:val="7FD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7B6E"/>
  <w15:chartTrackingRefBased/>
  <w15:docId w15:val="{6E96B502-9755-4F30-BAAE-2315BEE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70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170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D170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1F3F9536224D898F58401EF588BA" ma:contentTypeVersion="4" ma:contentTypeDescription="Create a new document." ma:contentTypeScope="" ma:versionID="b851d33e416cfd5ed7e571dff5c8e779">
  <xsd:schema xmlns:xsd="http://www.w3.org/2001/XMLSchema" xmlns:xs="http://www.w3.org/2001/XMLSchema" xmlns:p="http://schemas.microsoft.com/office/2006/metadata/properties" xmlns:ns2="039dfa86-3055-423b-8f98-a7ddd23cc0f6" targetNamespace="http://schemas.microsoft.com/office/2006/metadata/properties" ma:root="true" ma:fieldsID="3943bd4891053918e01e209a3550ccf7" ns2:_="">
    <xsd:import namespace="039dfa86-3055-423b-8f98-a7ddd23cc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dfa86-3055-423b-8f98-a7ddd23cc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A1822-C7F0-4C25-880E-A9C8EE10C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dfa86-3055-423b-8f98-a7ddd23c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CF696-B954-484C-B65C-1CC3FCC38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826B4-A080-4ED7-8D75-33D3633CB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>Shasta College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Gregory</dc:creator>
  <cp:keywords/>
  <dc:description/>
  <cp:lastModifiedBy>Ruth</cp:lastModifiedBy>
  <cp:revision>2</cp:revision>
  <dcterms:created xsi:type="dcterms:W3CDTF">2021-10-04T21:28:00Z</dcterms:created>
  <dcterms:modified xsi:type="dcterms:W3CDTF">2021-10-04T21:28:00Z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0x010100A2661F3F9536224D898F58401EF588BA</vt:lpwstr>
  </property>
</Properties>
</file>